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Objaśnienia do Wieloletniej Prognozy Finans</w:t>
      </w:r>
      <w:r w:rsidR="00382E15">
        <w:rPr>
          <w:b/>
          <w:bCs/>
          <w:sz w:val="28"/>
          <w:szCs w:val="28"/>
        </w:rPr>
        <w:t>owej Gminy Słubice na lata 201</w:t>
      </w:r>
      <w:r w:rsidR="00DF2F06">
        <w:rPr>
          <w:b/>
          <w:bCs/>
          <w:sz w:val="28"/>
          <w:szCs w:val="28"/>
        </w:rPr>
        <w:t>8</w:t>
      </w:r>
      <w:r w:rsidR="00B47DAD">
        <w:rPr>
          <w:b/>
          <w:bCs/>
          <w:sz w:val="28"/>
          <w:szCs w:val="28"/>
        </w:rPr>
        <w:t xml:space="preserve"> </w:t>
      </w:r>
      <w:r w:rsidR="00FF3F8C">
        <w:rPr>
          <w:b/>
          <w:bCs/>
          <w:sz w:val="28"/>
          <w:szCs w:val="28"/>
        </w:rPr>
        <w:t>–</w:t>
      </w:r>
      <w:r w:rsidRPr="008A0D41">
        <w:rPr>
          <w:b/>
          <w:bCs/>
          <w:sz w:val="28"/>
          <w:szCs w:val="28"/>
        </w:rPr>
        <w:t xml:space="preserve"> 202</w:t>
      </w:r>
      <w:r w:rsidR="00382E15">
        <w:rPr>
          <w:b/>
          <w:bCs/>
          <w:sz w:val="28"/>
          <w:szCs w:val="28"/>
        </w:rPr>
        <w:t>4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I. Ogólne założe</w:t>
      </w:r>
      <w:r w:rsidR="00B47DAD">
        <w:rPr>
          <w:b/>
          <w:bCs/>
          <w:sz w:val="28"/>
          <w:szCs w:val="28"/>
        </w:rPr>
        <w:t>nia przyjęte do opracowania WPF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Wieloletnia Prognoza Finansowa została sporządzona zgodnie z art. 226</w:t>
      </w:r>
      <w:r w:rsidR="002D3AC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232 ustawy z dnia 27 sierpnia 2009 r. o finansach pub</w:t>
      </w:r>
      <w:r w:rsidR="00382E15">
        <w:rPr>
          <w:sz w:val="28"/>
          <w:szCs w:val="28"/>
        </w:rPr>
        <w:t>licznych. Obejmuje ona lata 201</w:t>
      </w:r>
      <w:r w:rsidR="00DF2F06">
        <w:rPr>
          <w:sz w:val="28"/>
          <w:szCs w:val="28"/>
        </w:rPr>
        <w:t>8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2024</w:t>
      </w:r>
      <w:r w:rsidRPr="008A0D41">
        <w:rPr>
          <w:sz w:val="28"/>
          <w:szCs w:val="28"/>
        </w:rPr>
        <w:t>, co wynika z prognozy kwoty długu na okres zaciągniętych zobowiązań.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Przyjmując założenia do opracowania WPF oparto się na danych history</w:t>
      </w:r>
      <w:r w:rsidR="00F632C8">
        <w:rPr>
          <w:sz w:val="28"/>
          <w:szCs w:val="28"/>
        </w:rPr>
        <w:t>cz</w:t>
      </w:r>
      <w:r w:rsidRPr="008A0D41">
        <w:rPr>
          <w:sz w:val="28"/>
          <w:szCs w:val="28"/>
        </w:rPr>
        <w:t>nych w zakresie poszczególnych źródeł dochodów i kategorii wydatków, przyjmując za punkt odniesienia wartości fa</w:t>
      </w:r>
      <w:r w:rsidR="00382E15">
        <w:rPr>
          <w:sz w:val="28"/>
          <w:szCs w:val="28"/>
        </w:rPr>
        <w:t>ktycznie wykonane w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latach 201</w:t>
      </w:r>
      <w:r w:rsidR="00DF2F06">
        <w:rPr>
          <w:sz w:val="28"/>
          <w:szCs w:val="28"/>
        </w:rPr>
        <w:t>5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</w:t>
      </w:r>
      <w:r w:rsidR="002D3AC5">
        <w:rPr>
          <w:sz w:val="28"/>
          <w:szCs w:val="28"/>
        </w:rPr>
        <w:t>01</w:t>
      </w:r>
      <w:r w:rsidR="00DF2F06">
        <w:rPr>
          <w:sz w:val="28"/>
          <w:szCs w:val="28"/>
        </w:rPr>
        <w:t>6</w:t>
      </w:r>
      <w:r w:rsidRPr="008A0D4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oraz plan budżetu na rok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w/g stanu na</w:t>
      </w:r>
      <w:r w:rsidR="00B47DAD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30 września</w:t>
      </w:r>
      <w:r w:rsidR="00FF3F8C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oraz przewi</w:t>
      </w:r>
      <w:r w:rsidR="00382E15">
        <w:rPr>
          <w:sz w:val="28"/>
          <w:szCs w:val="28"/>
        </w:rPr>
        <w:t>dywane wykonanie budżetu za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Dochody i wydat</w:t>
      </w:r>
      <w:r w:rsidR="00382E15">
        <w:rPr>
          <w:sz w:val="28"/>
          <w:szCs w:val="28"/>
        </w:rPr>
        <w:t>ki, przychody i rozchody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 przyjęto w wartościach zgodnych z projektem uchwały budżetowej na ten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Ponadto prognozę finansową opracowano na podstawie regulacji dotyczących projektowania budżetu zawartych w ustawie o finansach publicznych, ustawie o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jednostek samorządu terytorialnego, ustawie o podatkach i</w:t>
      </w:r>
      <w:r w:rsidR="00FF3F8C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opłatach lokalnych, uchwał Rady Gminy podjętych na podstawie tych ustaw i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planowanych do podjęcia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rok, analizy kształtowania się sytuacji finansowej Gminy w ostatnich latach oraz przewidywanych ograniczeń rozwoju w związku z rosnącym udziałem środków własnych na utrzymanie placówek oświatowych funkcjonujących na ter</w:t>
      </w:r>
      <w:r w:rsidR="00B47C77">
        <w:rPr>
          <w:sz w:val="28"/>
          <w:szCs w:val="28"/>
        </w:rPr>
        <w:t>e</w:t>
      </w:r>
      <w:r w:rsidRPr="008A0D41">
        <w:rPr>
          <w:sz w:val="28"/>
          <w:szCs w:val="28"/>
        </w:rPr>
        <w:t>nie gminy.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wieloletn</w:t>
      </w:r>
      <w:r w:rsidR="00382E15">
        <w:rPr>
          <w:sz w:val="28"/>
          <w:szCs w:val="28"/>
        </w:rPr>
        <w:t>iej prognozie finansowej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 przyjęto wzrost ogó</w:t>
      </w:r>
      <w:r w:rsidR="00382E15">
        <w:rPr>
          <w:sz w:val="28"/>
          <w:szCs w:val="28"/>
        </w:rPr>
        <w:t xml:space="preserve">lnych dochodów i wydatków o </w:t>
      </w:r>
      <w:r w:rsidR="00DF2F06">
        <w:rPr>
          <w:sz w:val="28"/>
          <w:szCs w:val="28"/>
        </w:rPr>
        <w:t>2</w:t>
      </w:r>
      <w:r w:rsidR="00382E15">
        <w:rPr>
          <w:sz w:val="28"/>
          <w:szCs w:val="28"/>
        </w:rPr>
        <w:t>,</w:t>
      </w:r>
      <w:r w:rsidR="00F632C8">
        <w:rPr>
          <w:sz w:val="28"/>
          <w:szCs w:val="28"/>
        </w:rPr>
        <w:t>3</w:t>
      </w:r>
      <w:r w:rsidR="00382E15">
        <w:rPr>
          <w:sz w:val="28"/>
          <w:szCs w:val="28"/>
        </w:rPr>
        <w:t>%, natomiast w latach 201</w:t>
      </w:r>
      <w:r w:rsidR="00DF2F06">
        <w:rPr>
          <w:sz w:val="28"/>
          <w:szCs w:val="28"/>
        </w:rPr>
        <w:t>9</w:t>
      </w:r>
      <w:r w:rsidR="006D5E68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przyjęto wzrost dochodów o około 3%.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II. Prognozowane dochody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382E1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201</w:t>
      </w:r>
      <w:r w:rsidR="00DF2F06">
        <w:rPr>
          <w:sz w:val="28"/>
          <w:szCs w:val="28"/>
        </w:rPr>
        <w:t>8</w:t>
      </w:r>
      <w:r w:rsidR="008A0D41" w:rsidRPr="008A0D41">
        <w:rPr>
          <w:sz w:val="28"/>
          <w:szCs w:val="28"/>
        </w:rPr>
        <w:t xml:space="preserve"> r. założono wzrost dochodów bieżących tj. podatku rolnego, podatku od nieruchomości, podatku od środków transportowych, wody, ścieków i</w:t>
      </w:r>
      <w:r w:rsidR="00FF3F8C">
        <w:rPr>
          <w:sz w:val="28"/>
          <w:szCs w:val="28"/>
        </w:rPr>
        <w:t xml:space="preserve"> </w:t>
      </w:r>
      <w:r w:rsidR="008A0D41" w:rsidRPr="008A0D41">
        <w:rPr>
          <w:sz w:val="28"/>
          <w:szCs w:val="28"/>
        </w:rPr>
        <w:t xml:space="preserve">czynszu, opłaty targowej </w:t>
      </w:r>
      <w:r w:rsidR="006D5E68">
        <w:rPr>
          <w:sz w:val="28"/>
          <w:szCs w:val="28"/>
        </w:rPr>
        <w:t xml:space="preserve">oraz pozostałych dochodów o </w:t>
      </w:r>
      <w:r w:rsidR="00DF2F06">
        <w:rPr>
          <w:sz w:val="28"/>
          <w:szCs w:val="28"/>
        </w:rPr>
        <w:t>2</w:t>
      </w:r>
      <w:r w:rsidR="006D5E68">
        <w:rPr>
          <w:sz w:val="28"/>
          <w:szCs w:val="28"/>
        </w:rPr>
        <w:t>,</w:t>
      </w:r>
      <w:r w:rsidR="00F632C8">
        <w:rPr>
          <w:sz w:val="28"/>
          <w:szCs w:val="28"/>
        </w:rPr>
        <w:t>3</w:t>
      </w:r>
      <w:r w:rsidR="008A0D41" w:rsidRPr="008A0D41">
        <w:rPr>
          <w:sz w:val="28"/>
          <w:szCs w:val="28"/>
        </w:rPr>
        <w:t>%.</w:t>
      </w:r>
    </w:p>
    <w:p w:rsidR="003C6945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b</w:t>
      </w:r>
      <w:r w:rsidR="00382E15">
        <w:rPr>
          <w:sz w:val="28"/>
          <w:szCs w:val="28"/>
        </w:rPr>
        <w:t>udżecie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 przyjęto podane przez Mini</w:t>
      </w:r>
      <w:r w:rsidR="00382E15">
        <w:rPr>
          <w:sz w:val="28"/>
          <w:szCs w:val="28"/>
        </w:rPr>
        <w:t>stra Finansów w piśmie z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dnia 1</w:t>
      </w:r>
      <w:r w:rsidR="00DF2F06">
        <w:rPr>
          <w:sz w:val="28"/>
          <w:szCs w:val="28"/>
        </w:rPr>
        <w:t>2</w:t>
      </w:r>
      <w:r w:rsidR="00382E15">
        <w:rPr>
          <w:sz w:val="28"/>
          <w:szCs w:val="28"/>
        </w:rPr>
        <w:t xml:space="preserve"> października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planowane kwoty poszczególnych części subwencji ogólnej</w:t>
      </w:r>
      <w:r w:rsidR="00B47C77">
        <w:rPr>
          <w:sz w:val="28"/>
          <w:szCs w:val="28"/>
        </w:rPr>
        <w:t>,</w:t>
      </w:r>
      <w:r w:rsidRPr="008A0D41">
        <w:rPr>
          <w:sz w:val="28"/>
          <w:szCs w:val="28"/>
        </w:rPr>
        <w:t xml:space="preserve"> gdzie zarówno w części </w:t>
      </w:r>
      <w:r w:rsidR="00DF2F06">
        <w:rPr>
          <w:sz w:val="28"/>
          <w:szCs w:val="28"/>
        </w:rPr>
        <w:t xml:space="preserve">oświatowej, </w:t>
      </w:r>
      <w:r w:rsidR="00382E15">
        <w:rPr>
          <w:sz w:val="28"/>
          <w:szCs w:val="28"/>
        </w:rPr>
        <w:t>wyrównawczej</w:t>
      </w:r>
      <w:r w:rsidR="006D5E68">
        <w:rPr>
          <w:sz w:val="28"/>
          <w:szCs w:val="28"/>
        </w:rPr>
        <w:t xml:space="preserve"> jak i równoważącej</w:t>
      </w:r>
      <w:r w:rsidR="00382E15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przewidywana jest tendencja </w:t>
      </w:r>
      <w:r w:rsidR="00382E15">
        <w:rPr>
          <w:sz w:val="28"/>
          <w:szCs w:val="28"/>
        </w:rPr>
        <w:t>wzrostu</w:t>
      </w:r>
      <w:r w:rsidRPr="008A0D41">
        <w:rPr>
          <w:sz w:val="28"/>
          <w:szCs w:val="28"/>
        </w:rPr>
        <w:t xml:space="preserve"> o kwotę </w:t>
      </w:r>
      <w:r w:rsidR="00DF2F06">
        <w:rPr>
          <w:sz w:val="28"/>
          <w:szCs w:val="28"/>
        </w:rPr>
        <w:t>403.379</w:t>
      </w:r>
      <w:r w:rsidRPr="008A0D41">
        <w:rPr>
          <w:sz w:val="28"/>
          <w:szCs w:val="28"/>
        </w:rPr>
        <w:t>,00 zł. Planowane kwoty dochodów z tytułu udziału we wpływach z podatku dochodowego od osób fizycznych przewidują tendencję wzrostu do planu określonego</w:t>
      </w:r>
      <w:r w:rsidR="00382E15">
        <w:rPr>
          <w:sz w:val="28"/>
          <w:szCs w:val="28"/>
        </w:rPr>
        <w:t xml:space="preserve"> przez Ministra Finansów na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rok. Oszacowane wpływy z</w:t>
      </w:r>
      <w:r w:rsidR="006D5E68">
        <w:rPr>
          <w:sz w:val="28"/>
          <w:szCs w:val="28"/>
        </w:rPr>
        <w:t> </w:t>
      </w:r>
      <w:r w:rsidRPr="008A0D41">
        <w:rPr>
          <w:sz w:val="28"/>
          <w:szCs w:val="28"/>
        </w:rPr>
        <w:t>udziałów w podatku od osób prawnych</w:t>
      </w:r>
      <w:r w:rsidR="00382E15">
        <w:rPr>
          <w:sz w:val="28"/>
          <w:szCs w:val="28"/>
        </w:rPr>
        <w:t xml:space="preserve"> na poziomie wykonania roku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Ustalone, zgodnie z informacją </w:t>
      </w:r>
      <w:r w:rsidR="006D5E68">
        <w:rPr>
          <w:sz w:val="28"/>
          <w:szCs w:val="28"/>
        </w:rPr>
        <w:t xml:space="preserve">Wojewody Mazowieckiego z dnia </w:t>
      </w:r>
      <w:r w:rsidR="006D5E68">
        <w:rPr>
          <w:sz w:val="28"/>
          <w:szCs w:val="28"/>
        </w:rPr>
        <w:lastRenderedPageBreak/>
        <w:t>2</w:t>
      </w:r>
      <w:r w:rsidR="00F632C8">
        <w:rPr>
          <w:sz w:val="28"/>
          <w:szCs w:val="28"/>
        </w:rPr>
        <w:t>4</w:t>
      </w:r>
      <w:r w:rsidR="006D5E68">
        <w:rPr>
          <w:sz w:val="28"/>
          <w:szCs w:val="28"/>
        </w:rPr>
        <w:t> </w:t>
      </w:r>
      <w:r w:rsidR="00382E15">
        <w:rPr>
          <w:sz w:val="28"/>
          <w:szCs w:val="28"/>
        </w:rPr>
        <w:t>października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kwoty dotacji na zadania z</w:t>
      </w:r>
      <w:r w:rsidR="00F632C8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zakresu administracji rządowej oraz dotacji na realizację zadań własnych wykazują tendencję </w:t>
      </w:r>
      <w:r w:rsidR="007A7F02">
        <w:rPr>
          <w:sz w:val="28"/>
          <w:szCs w:val="28"/>
        </w:rPr>
        <w:t>spadku</w:t>
      </w:r>
      <w:r w:rsidRPr="008A0D41">
        <w:rPr>
          <w:sz w:val="28"/>
          <w:szCs w:val="28"/>
        </w:rPr>
        <w:t xml:space="preserve"> w stosunku do kwo</w:t>
      </w:r>
      <w:r w:rsidR="00562C5B">
        <w:rPr>
          <w:sz w:val="28"/>
          <w:szCs w:val="28"/>
        </w:rPr>
        <w:t xml:space="preserve">t przyjętych </w:t>
      </w:r>
      <w:r w:rsidR="007A7F02">
        <w:rPr>
          <w:sz w:val="28"/>
          <w:szCs w:val="28"/>
        </w:rPr>
        <w:t xml:space="preserve">w </w:t>
      </w:r>
      <w:r w:rsidR="003C6945">
        <w:rPr>
          <w:sz w:val="28"/>
          <w:szCs w:val="28"/>
        </w:rPr>
        <w:t>budżecie</w:t>
      </w:r>
      <w:r w:rsidR="00562C5B">
        <w:rPr>
          <w:sz w:val="28"/>
          <w:szCs w:val="28"/>
        </w:rPr>
        <w:t xml:space="preserve"> na 201</w:t>
      </w:r>
      <w:r w:rsidR="00DF2F06">
        <w:rPr>
          <w:sz w:val="28"/>
          <w:szCs w:val="28"/>
        </w:rPr>
        <w:t>7</w:t>
      </w:r>
      <w:r w:rsidR="00F632C8">
        <w:rPr>
          <w:sz w:val="28"/>
          <w:szCs w:val="28"/>
        </w:rPr>
        <w:t> </w:t>
      </w:r>
      <w:r w:rsidRPr="008A0D41">
        <w:rPr>
          <w:sz w:val="28"/>
          <w:szCs w:val="28"/>
        </w:rPr>
        <w:t>rok. Ponad</w:t>
      </w:r>
      <w:r w:rsidR="003C6945">
        <w:rPr>
          <w:sz w:val="28"/>
          <w:szCs w:val="28"/>
        </w:rPr>
        <w:t>to w budżecie przyjęto ustaloną</w:t>
      </w:r>
      <w:r w:rsidRPr="008A0D41">
        <w:rPr>
          <w:sz w:val="28"/>
          <w:szCs w:val="28"/>
        </w:rPr>
        <w:t xml:space="preserve"> przez Krajowe Biuro Wy</w:t>
      </w:r>
      <w:r w:rsidR="003C6945">
        <w:rPr>
          <w:sz w:val="28"/>
          <w:szCs w:val="28"/>
        </w:rPr>
        <w:t>borcze Delegatura w Płocku kwotę</w:t>
      </w:r>
      <w:r w:rsidRPr="008A0D41">
        <w:rPr>
          <w:sz w:val="28"/>
          <w:szCs w:val="28"/>
        </w:rPr>
        <w:t xml:space="preserve"> dotacji na zadanie z </w:t>
      </w:r>
      <w:r w:rsidR="003C6945">
        <w:rPr>
          <w:sz w:val="28"/>
          <w:szCs w:val="28"/>
        </w:rPr>
        <w:t>zakresu administracji rządowej.</w:t>
      </w:r>
    </w:p>
    <w:p w:rsidR="002A27A3" w:rsidRDefault="002A27A3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Mimo, że w podatkach i opłatach lokalnych przyjęto wskaźnik wzrostu o 2,3% do przewidywanego wykonania 2017 r. (oprócz podatków, które wpływają za pośrednictwem Urzędu Skarbowego – tutaj przyjęto kwoty z 2017 r. bez wskaźnika wzrostu) to ogólne wpływy z podatków i opłat lokalnych są zbliżone do przewidywanego wykonania 2017 r. Natomiast duży spadek jest z tytułu dotacji i środków przeznaczonych na cele bieżące. W stosunku do przewidywanego wykonania 2017 r. a projektem na 2018 r. – mniej jest o kwotę 857.989,80 zł i to ma wpływ na ogólny plan dochodów i wydatków budżetu gminy na 2018 r. Na etapie planowania budżetu nie przewiduje się również dochodów majątkowych z tytułu dotacji oraz środków przeznaczonych na inwestycje.  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Założono, że wzrost </w:t>
      </w:r>
      <w:r w:rsidR="00562C5B">
        <w:rPr>
          <w:sz w:val="28"/>
          <w:szCs w:val="28"/>
        </w:rPr>
        <w:t>dochodów bieżących w latach 201</w:t>
      </w:r>
      <w:r w:rsidR="00DF2F06">
        <w:rPr>
          <w:sz w:val="28"/>
          <w:szCs w:val="28"/>
        </w:rPr>
        <w:t>9</w:t>
      </w:r>
      <w:r w:rsidR="003C6945">
        <w:rPr>
          <w:sz w:val="28"/>
          <w:szCs w:val="28"/>
        </w:rPr>
        <w:t xml:space="preserve"> – </w:t>
      </w:r>
      <w:r w:rsidR="00562C5B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będzie utrzymywał się na poziomie około 3%.</w:t>
      </w:r>
    </w:p>
    <w:p w:rsidR="00562C5B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roku 201</w:t>
      </w:r>
      <w:r w:rsidR="00DF2F06">
        <w:rPr>
          <w:sz w:val="28"/>
          <w:szCs w:val="28"/>
        </w:rPr>
        <w:t>8</w:t>
      </w:r>
      <w:r>
        <w:rPr>
          <w:sz w:val="28"/>
          <w:szCs w:val="28"/>
        </w:rPr>
        <w:t xml:space="preserve"> i w latach 201</w:t>
      </w:r>
      <w:r w:rsidR="00DF2F06">
        <w:rPr>
          <w:sz w:val="28"/>
          <w:szCs w:val="28"/>
        </w:rPr>
        <w:t>9</w:t>
      </w:r>
      <w:r w:rsidR="003C6945">
        <w:rPr>
          <w:sz w:val="28"/>
          <w:szCs w:val="28"/>
        </w:rPr>
        <w:t xml:space="preserve"> – </w:t>
      </w:r>
      <w:r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planuje się dochodów ze sprzedaży majątku</w:t>
      </w:r>
      <w:r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część wyrównawcza subwencji ogólnej, dotacje celowe, podatki i opłaty lokalne, ze szczególnym naciskiem na podatek od nieruchomości, udziały we wpływach z podatku dochodowego od osób fizycznych.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</w:t>
      </w:r>
      <w:r w:rsidR="004E0C8D">
        <w:rPr>
          <w:b/>
          <w:bCs/>
          <w:sz w:val="28"/>
          <w:szCs w:val="28"/>
        </w:rPr>
        <w:t>I</w:t>
      </w:r>
      <w:r w:rsidRPr="008A0D41">
        <w:rPr>
          <w:b/>
          <w:bCs/>
          <w:sz w:val="28"/>
          <w:szCs w:val="28"/>
        </w:rPr>
        <w:t>I. Prognozowane wydatki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Wydatki skalkulowano przy uwzględnieniu możliwości dochodowych, jednak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uwzględnieniem analizy zadań bieżących koniecznych do realizacji oraz obligatoryjności wynikającej z przepisów obowiązującego prawa.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Prognozę oparto na założeniu określonym w art. 242 ust. 2 ustawy o finansach publicznych, polegającym na zachowaniu relacji, iż planowane wydatki bieżące nie mogą przewyższać dochodów bieżących.</w:t>
      </w:r>
    </w:p>
    <w:p w:rsidR="008A0D41" w:rsidRPr="008A0D41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201</w:t>
      </w:r>
      <w:r w:rsidR="00DF2F06">
        <w:rPr>
          <w:sz w:val="28"/>
          <w:szCs w:val="28"/>
        </w:rPr>
        <w:t>8</w:t>
      </w:r>
      <w:r w:rsidR="008A0D41" w:rsidRPr="008A0D41">
        <w:rPr>
          <w:sz w:val="28"/>
          <w:szCs w:val="28"/>
        </w:rPr>
        <w:t xml:space="preserve"> rok wydatki ogółem zaplanowano w kwocie </w:t>
      </w:r>
      <w:r w:rsidR="00DF2F06">
        <w:rPr>
          <w:sz w:val="28"/>
          <w:szCs w:val="28"/>
        </w:rPr>
        <w:t>18.297.668</w:t>
      </w:r>
      <w:r w:rsidR="008A0D41" w:rsidRPr="008A0D41">
        <w:rPr>
          <w:sz w:val="28"/>
          <w:szCs w:val="28"/>
        </w:rPr>
        <w:t xml:space="preserve">,00 zł, w tym na bieżące – </w:t>
      </w:r>
      <w:r w:rsidR="00DF2F06">
        <w:rPr>
          <w:sz w:val="28"/>
          <w:szCs w:val="28"/>
        </w:rPr>
        <w:t>17.619.668</w:t>
      </w:r>
      <w:r w:rsidR="003C6945">
        <w:rPr>
          <w:sz w:val="28"/>
          <w:szCs w:val="28"/>
        </w:rPr>
        <w:t>,00</w:t>
      </w:r>
      <w:r w:rsidR="008A0D41" w:rsidRPr="008A0D41">
        <w:rPr>
          <w:sz w:val="28"/>
          <w:szCs w:val="28"/>
        </w:rPr>
        <w:t xml:space="preserve"> zł i majątkowe – </w:t>
      </w:r>
      <w:r w:rsidR="00DF2F06">
        <w:rPr>
          <w:sz w:val="28"/>
          <w:szCs w:val="28"/>
        </w:rPr>
        <w:t>678.000</w:t>
      </w:r>
      <w:r w:rsidR="008A0D41" w:rsidRPr="008A0D41">
        <w:rPr>
          <w:sz w:val="28"/>
          <w:szCs w:val="28"/>
        </w:rPr>
        <w:t>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Wynagrodzenia i składki związane z ich naliczeniem</w:t>
      </w:r>
      <w:r w:rsidRPr="008A0D41">
        <w:rPr>
          <w:sz w:val="28"/>
          <w:szCs w:val="28"/>
        </w:rPr>
        <w:t xml:space="preserve"> ustalono na poziomie zawar</w:t>
      </w:r>
      <w:r w:rsidR="00EB23BE">
        <w:rPr>
          <w:sz w:val="28"/>
          <w:szCs w:val="28"/>
        </w:rPr>
        <w:t>tych umów o pracę na koniec 201</w:t>
      </w:r>
      <w:r w:rsidR="00DF2F06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r. Wydatki na wynagrodzenia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pochodne o</w:t>
      </w:r>
      <w:r w:rsidR="00EB23BE">
        <w:rPr>
          <w:sz w:val="28"/>
          <w:szCs w:val="28"/>
        </w:rPr>
        <w:t xml:space="preserve">d wynagrodzeń dla nauczycieli </w:t>
      </w:r>
      <w:r w:rsidR="00EB23BE" w:rsidRPr="008A0D41">
        <w:rPr>
          <w:sz w:val="28"/>
          <w:szCs w:val="28"/>
        </w:rPr>
        <w:t xml:space="preserve">przyjęto </w:t>
      </w:r>
      <w:r w:rsidR="00DF2F06">
        <w:rPr>
          <w:sz w:val="28"/>
          <w:szCs w:val="28"/>
        </w:rPr>
        <w:t>5% wzrostu od 1 kwietnia 201</w:t>
      </w:r>
      <w:r w:rsidR="00120206">
        <w:rPr>
          <w:sz w:val="28"/>
          <w:szCs w:val="28"/>
        </w:rPr>
        <w:t>8</w:t>
      </w:r>
      <w:r w:rsidR="00DF2F06">
        <w:rPr>
          <w:sz w:val="28"/>
          <w:szCs w:val="28"/>
        </w:rPr>
        <w:t xml:space="preserve"> r.</w:t>
      </w:r>
      <w:r w:rsidR="00EB23BE">
        <w:rPr>
          <w:sz w:val="28"/>
          <w:szCs w:val="28"/>
        </w:rPr>
        <w:t>,</w:t>
      </w:r>
      <w:r w:rsidR="00EB23BE" w:rsidRPr="008A0D41">
        <w:rPr>
          <w:sz w:val="28"/>
          <w:szCs w:val="28"/>
        </w:rPr>
        <w:t xml:space="preserve"> </w:t>
      </w:r>
      <w:r w:rsidR="00EB23BE">
        <w:rPr>
          <w:sz w:val="28"/>
          <w:szCs w:val="28"/>
        </w:rPr>
        <w:t>natomiast dla pracowni</w:t>
      </w:r>
      <w:r w:rsidR="00B47DAD">
        <w:rPr>
          <w:sz w:val="28"/>
          <w:szCs w:val="28"/>
        </w:rPr>
        <w:t xml:space="preserve">ków Urzędu i obsługi przyjęto </w:t>
      </w:r>
      <w:r w:rsidR="00DF2F06">
        <w:rPr>
          <w:sz w:val="28"/>
          <w:szCs w:val="28"/>
        </w:rPr>
        <w:t>3</w:t>
      </w:r>
      <w:r w:rsidR="00EB23BE">
        <w:rPr>
          <w:sz w:val="28"/>
          <w:szCs w:val="28"/>
        </w:rPr>
        <w:t xml:space="preserve">% wzrostu. </w:t>
      </w:r>
      <w:r w:rsidRPr="008A0D41">
        <w:rPr>
          <w:sz w:val="28"/>
          <w:szCs w:val="28"/>
        </w:rPr>
        <w:lastRenderedPageBreak/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</w:t>
      </w:r>
      <w:bookmarkStart w:id="0" w:name="_GoBack"/>
      <w:bookmarkEnd w:id="0"/>
      <w:r w:rsidRPr="008A0D41">
        <w:rPr>
          <w:sz w:val="28"/>
          <w:szCs w:val="28"/>
        </w:rPr>
        <w:t>ynagrodzeni</w:t>
      </w:r>
      <w:r w:rsidR="003573B6">
        <w:rPr>
          <w:sz w:val="28"/>
          <w:szCs w:val="28"/>
        </w:rPr>
        <w:t>ach osobowych na 201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r. uwzględniono wypłaty nagród jubileuszowych</w:t>
      </w:r>
      <w:r w:rsidR="00F632C8">
        <w:rPr>
          <w:sz w:val="28"/>
          <w:szCs w:val="28"/>
        </w:rPr>
        <w:t xml:space="preserve"> i odprawy emerytalne</w:t>
      </w:r>
      <w:r w:rsidRPr="008A0D41">
        <w:rPr>
          <w:sz w:val="28"/>
          <w:szCs w:val="28"/>
        </w:rPr>
        <w:t>.</w:t>
      </w:r>
    </w:p>
    <w:p w:rsidR="008A0D41" w:rsidRPr="008A0D41" w:rsidRDefault="00EB23BE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Planowany od 201</w:t>
      </w:r>
      <w:r w:rsidR="00DF2F06">
        <w:rPr>
          <w:sz w:val="28"/>
          <w:szCs w:val="28"/>
        </w:rPr>
        <w:t>9</w:t>
      </w:r>
      <w:r w:rsidR="008A0D41" w:rsidRPr="008A0D41">
        <w:rPr>
          <w:sz w:val="28"/>
          <w:szCs w:val="28"/>
        </w:rPr>
        <w:t xml:space="preserve"> r. </w:t>
      </w:r>
      <w:r w:rsidR="00B47C77">
        <w:rPr>
          <w:sz w:val="28"/>
          <w:szCs w:val="28"/>
        </w:rPr>
        <w:t xml:space="preserve">o około </w:t>
      </w:r>
      <w:r w:rsidR="008A0D41" w:rsidRPr="008A0D41">
        <w:rPr>
          <w:sz w:val="28"/>
          <w:szCs w:val="28"/>
        </w:rPr>
        <w:t>3% wzrost wydatków na wynagrodzenia w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 xml:space="preserve">każdym roku obejmuje również wypłatę nagród jubileuszowych.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Pozycja „Wydatki związane z funkcjonowaniem organów j.s.t.”</w:t>
      </w:r>
      <w:r w:rsidRPr="008A0D41">
        <w:rPr>
          <w:sz w:val="28"/>
          <w:szCs w:val="28"/>
        </w:rPr>
        <w:t xml:space="preserve"> obejmuje wydatki planowane w rozdziale 75022 „Rady gmin” oraz w rozdziale 75023 „Urzędy gmin” – założono około 3 % wzrost wydatków z tego tytułu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latach.</w:t>
      </w: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Zakup towarów i usług (zakup opału, energia elektryczna, woda szkolenia,</w:t>
      </w:r>
      <w:r w:rsidRPr="008A0D41">
        <w:rPr>
          <w:sz w:val="28"/>
          <w:szCs w:val="28"/>
        </w:rPr>
        <w:t xml:space="preserve"> </w:t>
      </w:r>
      <w:r w:rsidRPr="008A0D41">
        <w:rPr>
          <w:b/>
          <w:bCs/>
          <w:sz w:val="28"/>
          <w:szCs w:val="28"/>
        </w:rPr>
        <w:t>usługi remontowe, usługi telekomunikacyjne itd.)</w:t>
      </w:r>
      <w:r w:rsidRPr="008A0D41">
        <w:rPr>
          <w:sz w:val="28"/>
          <w:szCs w:val="28"/>
        </w:rPr>
        <w:t xml:space="preserve"> na poziomie </w:t>
      </w:r>
      <w:r w:rsidR="00EB23BE">
        <w:rPr>
          <w:sz w:val="28"/>
          <w:szCs w:val="28"/>
        </w:rPr>
        <w:t>przewidywanego wykonania za 201</w:t>
      </w:r>
      <w:r w:rsidR="00DF2F06">
        <w:rPr>
          <w:sz w:val="28"/>
          <w:szCs w:val="28"/>
        </w:rPr>
        <w:t>7</w:t>
      </w:r>
      <w:r w:rsidR="00EB23BE">
        <w:rPr>
          <w:sz w:val="28"/>
          <w:szCs w:val="28"/>
        </w:rPr>
        <w:t xml:space="preserve"> r. z uwzględnieniem </w:t>
      </w:r>
      <w:r w:rsidR="00DF2F06">
        <w:rPr>
          <w:sz w:val="28"/>
          <w:szCs w:val="28"/>
        </w:rPr>
        <w:t>2</w:t>
      </w:r>
      <w:r w:rsidR="00EB23BE">
        <w:rPr>
          <w:sz w:val="28"/>
          <w:szCs w:val="28"/>
        </w:rPr>
        <w:t>,</w:t>
      </w:r>
      <w:r w:rsidR="00F632C8">
        <w:rPr>
          <w:sz w:val="28"/>
          <w:szCs w:val="28"/>
        </w:rPr>
        <w:t>3</w:t>
      </w:r>
      <w:r w:rsidRPr="008A0D41">
        <w:rPr>
          <w:sz w:val="28"/>
          <w:szCs w:val="28"/>
        </w:rPr>
        <w:t>% wzrostu cen na wydatki rzeczowe. W kolejnych latach wzrost wydatków bieżąc</w:t>
      </w:r>
      <w:r w:rsidR="00B47C77">
        <w:rPr>
          <w:sz w:val="28"/>
          <w:szCs w:val="28"/>
        </w:rPr>
        <w:t xml:space="preserve">ych planuje się </w:t>
      </w:r>
      <w:r w:rsidR="00DF2F06">
        <w:rPr>
          <w:sz w:val="28"/>
          <w:szCs w:val="28"/>
        </w:rPr>
        <w:t>o około 3%.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Kwoty dotacji udzielonych z budżetu Gminy</w:t>
      </w:r>
      <w:r w:rsidRPr="008A0D41">
        <w:rPr>
          <w:sz w:val="28"/>
          <w:szCs w:val="28"/>
        </w:rPr>
        <w:t xml:space="preserve"> przyjęto na podstawie zawartych umów z jednostkami samorządu terytorialnego jak również zaplanowano dotacje dla podmiotów spoza sektora finansów publicznych i dla instytucji kultury na realizację zadań własnych Gminy. Kwoty dotacji określono w załącznikach nr 5 i 6 do projektu uchwały budżetowej.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na obsługę długu</w:t>
      </w:r>
      <w:r w:rsidRPr="008A0D41">
        <w:rPr>
          <w:sz w:val="28"/>
          <w:szCs w:val="28"/>
        </w:rPr>
        <w:t xml:space="preserve"> zaplanowano na podstawie harmonogramów spłat zaciągniętych wcześniej kredytów i pożyczek. Na tej samej podstawie zaplanowano wysokość rozchodów budżetu. W roku 20</w:t>
      </w:r>
      <w:r w:rsidR="003573B6">
        <w:rPr>
          <w:sz w:val="28"/>
          <w:szCs w:val="28"/>
        </w:rPr>
        <w:t>1</w:t>
      </w:r>
      <w:r w:rsidR="00DF2F06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zaplanowano nadwyżkę budżetu w kwocie </w:t>
      </w:r>
      <w:r w:rsidR="00DF2F06">
        <w:rPr>
          <w:sz w:val="28"/>
          <w:szCs w:val="28"/>
        </w:rPr>
        <w:t>290.681</w:t>
      </w:r>
      <w:r w:rsidRPr="008A0D41">
        <w:rPr>
          <w:sz w:val="28"/>
          <w:szCs w:val="28"/>
        </w:rPr>
        <w:t>,00 zł z przeznaczeniem na spłatę wcześniej zaciągniętych kr</w:t>
      </w:r>
      <w:r w:rsidR="003C6945">
        <w:rPr>
          <w:sz w:val="28"/>
          <w:szCs w:val="28"/>
        </w:rPr>
        <w:t>edytów i pożyczek. W latach 201</w:t>
      </w:r>
      <w:r w:rsidR="00DF2F06">
        <w:rPr>
          <w:sz w:val="28"/>
          <w:szCs w:val="28"/>
        </w:rPr>
        <w:t>9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202</w:t>
      </w:r>
      <w:r w:rsidR="003C6945">
        <w:rPr>
          <w:sz w:val="28"/>
          <w:szCs w:val="28"/>
        </w:rPr>
        <w:t>4</w:t>
      </w:r>
      <w:r w:rsidRPr="008A0D41">
        <w:rPr>
          <w:sz w:val="28"/>
          <w:szCs w:val="28"/>
        </w:rPr>
        <w:t xml:space="preserve"> nie planuje się zaciągnięcia kredytów i pożyczek.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Dla odsetek od zadłużenia istniejącego przyjęto prognozowaną stawkę WIBOR1M powiększoną o marżę kredytową wynoszącą 1,2%.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majątkowe</w:t>
      </w:r>
      <w:r w:rsidRPr="008A0D41">
        <w:rPr>
          <w:sz w:val="28"/>
          <w:szCs w:val="28"/>
        </w:rPr>
        <w:t xml:space="preserve"> zostały przedstawione zadania inwestycyjne realizowane w </w:t>
      </w:r>
      <w:r w:rsidR="00EB23BE">
        <w:rPr>
          <w:sz w:val="28"/>
          <w:szCs w:val="28"/>
        </w:rPr>
        <w:t>cyklu jednorocznym w latach 201</w:t>
      </w:r>
      <w:r w:rsidR="008777B4">
        <w:rPr>
          <w:sz w:val="28"/>
          <w:szCs w:val="28"/>
        </w:rPr>
        <w:t>8</w:t>
      </w:r>
      <w:r w:rsidR="003C6945">
        <w:rPr>
          <w:sz w:val="28"/>
          <w:szCs w:val="28"/>
        </w:rPr>
        <w:t xml:space="preserve"> – </w:t>
      </w:r>
      <w:r w:rsidR="00EB23BE">
        <w:rPr>
          <w:sz w:val="28"/>
          <w:szCs w:val="28"/>
        </w:rPr>
        <w:t>2024</w:t>
      </w:r>
      <w:r w:rsidRPr="008A0D41">
        <w:rPr>
          <w:sz w:val="28"/>
          <w:szCs w:val="28"/>
        </w:rPr>
        <w:t>.</w:t>
      </w:r>
    </w:p>
    <w:p w:rsidR="008A0D41" w:rsidRPr="008A0D41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3F8C">
        <w:rPr>
          <w:spacing w:val="-2"/>
          <w:sz w:val="28"/>
          <w:szCs w:val="28"/>
        </w:rPr>
        <w:t xml:space="preserve">W roku </w:t>
      </w:r>
      <w:r w:rsidR="00EB23BE" w:rsidRPr="00FF3F8C">
        <w:rPr>
          <w:spacing w:val="-2"/>
          <w:sz w:val="28"/>
          <w:szCs w:val="28"/>
        </w:rPr>
        <w:t>201</w:t>
      </w:r>
      <w:r w:rsidR="008777B4">
        <w:rPr>
          <w:spacing w:val="-2"/>
          <w:sz w:val="28"/>
          <w:szCs w:val="28"/>
        </w:rPr>
        <w:t>8</w:t>
      </w:r>
      <w:r w:rsidR="008A0D41" w:rsidRPr="00FF3F8C">
        <w:rPr>
          <w:spacing w:val="-2"/>
          <w:sz w:val="28"/>
          <w:szCs w:val="28"/>
        </w:rPr>
        <w:t xml:space="preserve"> planuje się przeznaczyć na wydatki majątkowe kwotę</w:t>
      </w:r>
      <w:r w:rsidRPr="00FF3F8C">
        <w:rPr>
          <w:spacing w:val="-2"/>
          <w:sz w:val="28"/>
          <w:szCs w:val="28"/>
        </w:rPr>
        <w:t xml:space="preserve"> </w:t>
      </w:r>
      <w:r w:rsidR="008777B4">
        <w:rPr>
          <w:spacing w:val="-2"/>
          <w:sz w:val="28"/>
          <w:szCs w:val="28"/>
        </w:rPr>
        <w:t>678.000</w:t>
      </w:r>
      <w:r w:rsidRPr="00FF3F8C">
        <w:rPr>
          <w:spacing w:val="-2"/>
          <w:sz w:val="28"/>
          <w:szCs w:val="28"/>
        </w:rPr>
        <w:t>,00</w:t>
      </w:r>
      <w:r w:rsidR="00EB23BE" w:rsidRPr="00FF3F8C">
        <w:rPr>
          <w:spacing w:val="-2"/>
          <w:sz w:val="28"/>
          <w:szCs w:val="28"/>
        </w:rPr>
        <w:t xml:space="preserve"> </w:t>
      </w:r>
      <w:r w:rsidR="008A0D41" w:rsidRPr="00FF3F8C">
        <w:rPr>
          <w:spacing w:val="-2"/>
          <w:sz w:val="28"/>
          <w:szCs w:val="28"/>
        </w:rPr>
        <w:t>zł,</w:t>
      </w:r>
      <w:r w:rsidR="008A0D41" w:rsidRPr="008A0D41">
        <w:rPr>
          <w:sz w:val="28"/>
          <w:szCs w:val="28"/>
        </w:rPr>
        <w:t xml:space="preserve"> w tym na zadania inwestycyjne kwotę</w:t>
      </w:r>
      <w:r>
        <w:rPr>
          <w:sz w:val="28"/>
          <w:szCs w:val="28"/>
        </w:rPr>
        <w:t xml:space="preserve"> </w:t>
      </w:r>
      <w:r w:rsidR="008777B4">
        <w:rPr>
          <w:sz w:val="28"/>
          <w:szCs w:val="28"/>
        </w:rPr>
        <w:t>678.000</w:t>
      </w:r>
      <w:r w:rsidR="008A0D41" w:rsidRPr="008A0D41">
        <w:rPr>
          <w:sz w:val="28"/>
          <w:szCs w:val="28"/>
        </w:rPr>
        <w:t>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Głównym źródłem finansowania inwestycji stają się wpływy z dochodów.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IV. Prognozowa</w:t>
      </w:r>
      <w:r w:rsidR="00B47DAD">
        <w:rPr>
          <w:b/>
          <w:bCs/>
          <w:sz w:val="28"/>
          <w:szCs w:val="28"/>
        </w:rPr>
        <w:t>ne przychody i rozchody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dzień przyjęcia wieloletniej prognozy finansowej nie planuje się przychodów budżetu Gminy. Jak wynika z zestawienia dochodów, wydatków, przychodów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rozchodów, określonych w wieloletniej p</w:t>
      </w:r>
      <w:r w:rsidR="00EB23BE">
        <w:rPr>
          <w:sz w:val="28"/>
          <w:szCs w:val="28"/>
        </w:rPr>
        <w:t>rognozie finansowej, w</w:t>
      </w:r>
      <w:r w:rsidR="00B47DAD">
        <w:rPr>
          <w:sz w:val="28"/>
          <w:szCs w:val="28"/>
        </w:rPr>
        <w:t> </w:t>
      </w:r>
      <w:r w:rsidR="00EB23BE">
        <w:rPr>
          <w:sz w:val="28"/>
          <w:szCs w:val="28"/>
        </w:rPr>
        <w:t>roku 201</w:t>
      </w:r>
      <w:r w:rsidR="008777B4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kolejnych latach planowane są nadwyżki budżetowe niezbędne do spłaty </w:t>
      </w:r>
      <w:r w:rsidRPr="008A0D41">
        <w:rPr>
          <w:sz w:val="28"/>
          <w:szCs w:val="28"/>
        </w:rPr>
        <w:lastRenderedPageBreak/>
        <w:t>zobowiązań</w:t>
      </w:r>
      <w:r w:rsidR="00EB23BE">
        <w:rPr>
          <w:sz w:val="28"/>
          <w:szCs w:val="28"/>
        </w:rPr>
        <w:t xml:space="preserve"> (pożyczek, kredytów).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V. Prognoza długu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Spłatę długu zaplanowano na podstawie harmonogramów spłat wcześniej zaciągniętych kredytów i pożyczek.</w:t>
      </w:r>
      <w:r w:rsidR="003C6945">
        <w:rPr>
          <w:sz w:val="28"/>
          <w:szCs w:val="28"/>
        </w:rPr>
        <w:t xml:space="preserve"> Spłata długu obejmuje lata 201</w:t>
      </w:r>
      <w:r w:rsidR="008777B4">
        <w:rPr>
          <w:sz w:val="28"/>
          <w:szCs w:val="28"/>
        </w:rPr>
        <w:t>8</w:t>
      </w:r>
      <w:r w:rsidR="003C6945"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2024</w:t>
      </w:r>
      <w:r w:rsidRPr="008A0D41"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Zgodnie z obowiązującymi przepisami dla budżetu jednostek sa</w:t>
      </w:r>
      <w:r w:rsidR="00B47C77">
        <w:rPr>
          <w:sz w:val="28"/>
          <w:szCs w:val="28"/>
        </w:rPr>
        <w:t>morządu terytorialnego od 2014</w:t>
      </w:r>
      <w:r w:rsidRPr="008A0D41">
        <w:rPr>
          <w:sz w:val="28"/>
          <w:szCs w:val="28"/>
        </w:rPr>
        <w:t xml:space="preserve"> roku zastosowanie </w:t>
      </w:r>
      <w:r w:rsidR="003573B6">
        <w:rPr>
          <w:sz w:val="28"/>
          <w:szCs w:val="28"/>
        </w:rPr>
        <w:t>mają</w:t>
      </w:r>
      <w:r w:rsidRPr="008A0D41">
        <w:rPr>
          <w:sz w:val="28"/>
          <w:szCs w:val="28"/>
        </w:rPr>
        <w:t xml:space="preserve"> przepisy art. 243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244 ustawy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dnia 27 sierpnia 2009 roku o finansach publicznych. Zgodnie z nimi Gmina nie </w:t>
      </w:r>
      <w:r w:rsidR="00B47C77">
        <w:rPr>
          <w:sz w:val="28"/>
          <w:szCs w:val="28"/>
        </w:rPr>
        <w:t>może</w:t>
      </w:r>
      <w:r w:rsidRPr="008A0D41">
        <w:rPr>
          <w:sz w:val="28"/>
          <w:szCs w:val="28"/>
        </w:rPr>
        <w:t xml:space="preserve"> uchwalić budżetu, którego realizacja spowoduje, że w roku budżetowym oraz w każdym kolejnym roku relacja łącznej kwoty przeznaczonej na obsługę zadłużenia (suma spłat kredytów i pożyczek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należnymi w danym roku odsetkami) do dochodów ogółem budżetu przekroczy średnią arytmetyczną z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ostatnich trzech lat realizacji jej dochodów bieżących powiększonych o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dochody ze sprzedaży majątku oraz pomniejszonych o wydatki bieżące, do dochodów ogółem budżetu.</w:t>
      </w:r>
    </w:p>
    <w:p w:rsidR="008A0D41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201</w:t>
      </w:r>
      <w:r w:rsidR="008777B4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jest planowane zaciąganie dodatkowych kredytów i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>pożyczek, tak więc w planowanym poziomie zadłużenia na koniec poszczególnych lat uwzględniono jedynie spłaty rat kredytów i pożyczek wynikające z harmonogramów spłat zawartych w umowach kredytowych.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VI. Wiel</w:t>
      </w:r>
      <w:r w:rsidR="00B47DAD">
        <w:rPr>
          <w:b/>
          <w:bCs/>
          <w:sz w:val="28"/>
          <w:szCs w:val="28"/>
        </w:rPr>
        <w:t>oletnie przedsięwzięcia bieżące</w:t>
      </w:r>
      <w:r w:rsidR="003C6945">
        <w:rPr>
          <w:b/>
          <w:bCs/>
          <w:sz w:val="28"/>
          <w:szCs w:val="28"/>
        </w:rPr>
        <w:t xml:space="preserve"> i majątkowe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etapie </w:t>
      </w:r>
      <w:r w:rsidR="003561B9">
        <w:rPr>
          <w:sz w:val="28"/>
          <w:szCs w:val="28"/>
        </w:rPr>
        <w:t>opracowywania</w:t>
      </w:r>
      <w:r>
        <w:rPr>
          <w:sz w:val="28"/>
          <w:szCs w:val="28"/>
        </w:rPr>
        <w:t xml:space="preserve"> budżetu w 201</w:t>
      </w:r>
      <w:r w:rsidR="008777B4">
        <w:rPr>
          <w:sz w:val="28"/>
          <w:szCs w:val="28"/>
        </w:rPr>
        <w:t>8</w:t>
      </w:r>
      <w:r>
        <w:rPr>
          <w:sz w:val="28"/>
          <w:szCs w:val="28"/>
        </w:rPr>
        <w:t xml:space="preserve"> r. i latach następnych nie planuje się przedsięwzięć, które objęte byłyby WPF.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B47DAD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Pozycja 3 Wynik budżetu jest różnicą pomiędzy pozycjami 1. „Dochody ogółem” a pozycją 2 „Wydatki ogółem” i stanowi nadwyżkę budżetu w kwocie</w:t>
      </w:r>
      <w:r w:rsidR="004E0C8D">
        <w:rPr>
          <w:sz w:val="28"/>
          <w:szCs w:val="28"/>
        </w:rPr>
        <w:t xml:space="preserve"> </w:t>
      </w:r>
      <w:r w:rsidR="008777B4">
        <w:rPr>
          <w:sz w:val="28"/>
          <w:szCs w:val="28"/>
        </w:rPr>
        <w:t>290.681</w:t>
      </w:r>
      <w:r w:rsidRPr="008A0D41">
        <w:rPr>
          <w:sz w:val="28"/>
          <w:szCs w:val="28"/>
        </w:rPr>
        <w:t>,00</w:t>
      </w:r>
      <w:r w:rsidR="00C338C4">
        <w:rPr>
          <w:sz w:val="28"/>
          <w:szCs w:val="28"/>
        </w:rPr>
        <w:t> </w:t>
      </w:r>
      <w:r w:rsidRPr="008A0D41">
        <w:rPr>
          <w:sz w:val="28"/>
          <w:szCs w:val="28"/>
        </w:rPr>
        <w:t>zł, która przezna</w:t>
      </w:r>
      <w:r w:rsidR="00B47C77">
        <w:rPr>
          <w:sz w:val="28"/>
          <w:szCs w:val="28"/>
        </w:rPr>
        <w:t>czona będzie na spłatę wcze</w:t>
      </w:r>
      <w:r w:rsidRPr="008A0D41">
        <w:rPr>
          <w:sz w:val="28"/>
          <w:szCs w:val="28"/>
        </w:rPr>
        <w:t>śniej zaciągniętych pożyczek w Wojewódzkim Funduszu Ochrony Środowiska i Gospodarki Wodnej w Warszawie</w:t>
      </w:r>
      <w:r w:rsidR="00C338C4">
        <w:rPr>
          <w:sz w:val="28"/>
          <w:szCs w:val="28"/>
        </w:rPr>
        <w:t xml:space="preserve"> i</w:t>
      </w:r>
      <w:r w:rsidR="004E0C8D">
        <w:rPr>
          <w:sz w:val="28"/>
          <w:szCs w:val="28"/>
        </w:rPr>
        <w:t xml:space="preserve"> spłatę kredytów zaciągniętych</w:t>
      </w:r>
      <w:r w:rsidRPr="008A0D41">
        <w:rPr>
          <w:sz w:val="28"/>
          <w:szCs w:val="28"/>
        </w:rPr>
        <w:t xml:space="preserve"> w Banku Polska Kasa Opieki </w:t>
      </w:r>
      <w:r w:rsidR="004E0C8D">
        <w:rPr>
          <w:sz w:val="28"/>
          <w:szCs w:val="28"/>
        </w:rPr>
        <w:t>Spółka Akcyjna Oddział w Płocku.</w:t>
      </w:r>
    </w:p>
    <w:p w:rsidR="008A0D41" w:rsidRPr="008A0D41" w:rsidRDefault="007C2900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201</w:t>
      </w:r>
      <w:r w:rsidR="008777B4">
        <w:rPr>
          <w:sz w:val="28"/>
          <w:szCs w:val="28"/>
        </w:rPr>
        <w:t>9</w:t>
      </w:r>
      <w:r w:rsidR="00C338C4">
        <w:rPr>
          <w:sz w:val="28"/>
          <w:szCs w:val="28"/>
        </w:rPr>
        <w:t xml:space="preserve"> – </w:t>
      </w:r>
      <w:r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również zaplanowano nadwyżkę budżetu, która będzie przeznaczona na spłatę wcześniej zaciągniętych pożyczek i kredytów (czyli na rozchody budżetu).</w:t>
      </w:r>
    </w:p>
    <w:p w:rsidR="00C338C4" w:rsidRDefault="00C338C4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Znaczenie Wieloletniej Prognozy Finansowej, jej powiązanie z Uchwałą Budżetową oraz uwagi na temat realności planowania długoterminowego.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Kwestia zgodności WPF z budżetem jest uregulowana w art. 229 ustawy z dnia 27 sierpnia 2009 roku o finansach publicznych, z którego wynika, że wartości </w:t>
      </w:r>
      <w:r w:rsidRPr="008A0D41">
        <w:rPr>
          <w:sz w:val="28"/>
          <w:szCs w:val="28"/>
        </w:rPr>
        <w:lastRenderedPageBreak/>
        <w:t>przyjęte w wieloletniej prognozie finansowej i budżecie jednostki samorządu terytorialnego powinny być zgodne co najmniej w zakresie wyniku budżetu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związanych z nim kwot przychodów i rozchodów oraz długu jednostki samorządu terytorialnego. Zmiana w budżecie, powodująca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bieżących budżetu czy też wydatkach bieżących ma bezpośredni wpływ na wskaźnik zadłużenia, określony w art.</w:t>
      </w:r>
      <w:r w:rsidR="00C338C4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243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Budżet JST zawiera dane niezbędne do sporządzenia prognozy kwoty długu, która jest opracowywana na podstawie sprawozdawczości i kwot uchwalonych w budżecie.</w:t>
      </w:r>
    </w:p>
    <w:p w:rsidR="00293BFB" w:rsidRPr="008A0D41" w:rsidRDefault="00293BF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C4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WPF czyli dokument o znaczeniu strategicznym powinien być uchwalony nie później niż uchwała budżetowa, co wskazuje na konieczność dostosowania kwot w uchwale budżetowej do wielkości z WPF, podlega weryfikacji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dokonywanymi zmianami w budżecie w zakresie określonym w art. 229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 Zapisy uchwały budżetowej, począwszy od jej uchwalenia poprzez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ciągu roku, będą determinowały wielkości ujęte w WPF w zakresie roku budżetowego oraz następnych latach, np. zmiana kwot wydatków ze względu na zmiany przedsięwzięć objętych WPF.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kształt WPF będą miały zasadniczy wpływ możliwości finansowe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wykonanie budżetu danego roku.</w:t>
      </w:r>
    </w:p>
    <w:p w:rsidR="00CC5068" w:rsidRDefault="00CC5068"/>
    <w:sectPr w:rsidR="00CC5068" w:rsidSect="00AB30EF">
      <w:footerReference w:type="default" r:id="rId8"/>
      <w:pgSz w:w="11894" w:h="16834"/>
      <w:pgMar w:top="1440" w:right="1440" w:bottom="1440" w:left="1440" w:header="720" w:footer="720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23" w:rsidRDefault="009F5123" w:rsidP="00AB30EF">
      <w:r>
        <w:separator/>
      </w:r>
    </w:p>
  </w:endnote>
  <w:endnote w:type="continuationSeparator" w:id="0">
    <w:p w:rsidR="009F5123" w:rsidRDefault="009F5123" w:rsidP="00AB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2637"/>
      <w:docPartObj>
        <w:docPartGallery w:val="Page Numbers (Bottom of Page)"/>
        <w:docPartUnique/>
      </w:docPartObj>
    </w:sdtPr>
    <w:sdtEndPr/>
    <w:sdtContent>
      <w:p w:rsidR="00AB30EF" w:rsidRDefault="00AB30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A3">
          <w:rPr>
            <w:noProof/>
          </w:rPr>
          <w:t>- 5 -</w:t>
        </w:r>
        <w:r>
          <w:fldChar w:fldCharType="end"/>
        </w:r>
      </w:p>
    </w:sdtContent>
  </w:sdt>
  <w:p w:rsidR="00AB30EF" w:rsidRDefault="00AB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23" w:rsidRDefault="009F5123" w:rsidP="00AB30EF">
      <w:r>
        <w:separator/>
      </w:r>
    </w:p>
  </w:footnote>
  <w:footnote w:type="continuationSeparator" w:id="0">
    <w:p w:rsidR="009F5123" w:rsidRDefault="009F5123" w:rsidP="00AB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BA70ABE"/>
    <w:multiLevelType w:val="hybridMultilevel"/>
    <w:tmpl w:val="8AFA226E"/>
    <w:lvl w:ilvl="0" w:tplc="C0B8D950">
      <w:start w:val="1"/>
      <w:numFmt w:val="decimal"/>
      <w:lvlText w:val="%1)"/>
      <w:lvlJc w:val="left"/>
      <w:pPr>
        <w:tabs>
          <w:tab w:val="num" w:pos="992"/>
        </w:tabs>
        <w:ind w:left="9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1"/>
    <w:rsid w:val="0001358C"/>
    <w:rsid w:val="00120206"/>
    <w:rsid w:val="00293BFB"/>
    <w:rsid w:val="002A27A3"/>
    <w:rsid w:val="002D3AC5"/>
    <w:rsid w:val="00352F71"/>
    <w:rsid w:val="003561B9"/>
    <w:rsid w:val="003573B6"/>
    <w:rsid w:val="00382E15"/>
    <w:rsid w:val="003C6945"/>
    <w:rsid w:val="004939A8"/>
    <w:rsid w:val="004E0C8D"/>
    <w:rsid w:val="00562C5B"/>
    <w:rsid w:val="00604B50"/>
    <w:rsid w:val="006D5E68"/>
    <w:rsid w:val="007A7F02"/>
    <w:rsid w:val="007C2900"/>
    <w:rsid w:val="008777B4"/>
    <w:rsid w:val="008A0D41"/>
    <w:rsid w:val="009F5123"/>
    <w:rsid w:val="00A125C9"/>
    <w:rsid w:val="00AB2B97"/>
    <w:rsid w:val="00AB30EF"/>
    <w:rsid w:val="00AB59D1"/>
    <w:rsid w:val="00AD3652"/>
    <w:rsid w:val="00B47C77"/>
    <w:rsid w:val="00B47DAD"/>
    <w:rsid w:val="00C338C4"/>
    <w:rsid w:val="00CC5068"/>
    <w:rsid w:val="00DF2F06"/>
    <w:rsid w:val="00EB23BE"/>
    <w:rsid w:val="00F5336A"/>
    <w:rsid w:val="00F632C8"/>
    <w:rsid w:val="00FB411D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702A-C6C1-4975-AFB3-C1C21177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573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AB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0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0EF"/>
    <w:rPr>
      <w:sz w:val="24"/>
      <w:szCs w:val="24"/>
    </w:rPr>
  </w:style>
  <w:style w:type="paragraph" w:styleId="Tekstdymka">
    <w:name w:val="Balloon Text"/>
    <w:basedOn w:val="Normalny"/>
    <w:link w:val="TekstdymkaZnak"/>
    <w:rsid w:val="00AB3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98F2-A9FB-4DD6-8DAC-4C8B03D6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Wieloletniej Prognozy Finansowej Gminy Słubice na  lata 2014- 2023</vt:lpstr>
    </vt:vector>
  </TitlesOfParts>
  <Company>X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Wieloletniej Prognozy Finansowej Gminy Słubice na  lata 2014- 2023</dc:title>
  <dc:subject/>
  <dc:creator>user</dc:creator>
  <cp:keywords/>
  <dc:description/>
  <cp:lastModifiedBy>Joanna Jakubowska</cp:lastModifiedBy>
  <cp:revision>14</cp:revision>
  <cp:lastPrinted>2015-11-13T10:41:00Z</cp:lastPrinted>
  <dcterms:created xsi:type="dcterms:W3CDTF">2015-11-12T07:03:00Z</dcterms:created>
  <dcterms:modified xsi:type="dcterms:W3CDTF">2017-11-29T12:18:00Z</dcterms:modified>
</cp:coreProperties>
</file>