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E6B7" w14:textId="3A2107C4" w:rsidR="0035051B" w:rsidRDefault="0035051B" w:rsidP="0035051B">
      <w:pPr>
        <w:pStyle w:val="Bezodstpw"/>
        <w:tabs>
          <w:tab w:val="left" w:pos="1947"/>
        </w:tabs>
        <w:spacing w:line="240" w:lineRule="auto"/>
        <w:jc w:val="center"/>
        <w:rPr>
          <w:noProof/>
        </w:rPr>
      </w:pPr>
      <w:bookmarkStart w:id="0" w:name="_Toc433969903"/>
      <w:bookmarkStart w:id="1" w:name="_Toc71547218"/>
    </w:p>
    <w:p w14:paraId="2033AAB8" w14:textId="79291760" w:rsidR="0035051B" w:rsidRDefault="0035051B" w:rsidP="0035051B">
      <w:pPr>
        <w:pStyle w:val="Bezodstpw"/>
        <w:tabs>
          <w:tab w:val="left" w:pos="1947"/>
        </w:tabs>
        <w:spacing w:line="240" w:lineRule="auto"/>
        <w:jc w:val="center"/>
        <w:rPr>
          <w:noProof/>
        </w:rPr>
      </w:pPr>
    </w:p>
    <w:p w14:paraId="3872C978" w14:textId="2C1D2EAB" w:rsidR="0035051B" w:rsidRDefault="0035051B" w:rsidP="0035051B">
      <w:pPr>
        <w:pStyle w:val="Bezodstpw"/>
        <w:tabs>
          <w:tab w:val="left" w:pos="1947"/>
        </w:tabs>
        <w:spacing w:line="240" w:lineRule="auto"/>
        <w:jc w:val="center"/>
        <w:rPr>
          <w:noProof/>
        </w:rPr>
      </w:pPr>
    </w:p>
    <w:p w14:paraId="769432A8" w14:textId="2E683D62" w:rsidR="0035051B" w:rsidRDefault="0035051B" w:rsidP="0035051B">
      <w:pPr>
        <w:pStyle w:val="Bezodstpw"/>
        <w:tabs>
          <w:tab w:val="left" w:pos="1947"/>
        </w:tabs>
        <w:spacing w:line="240" w:lineRule="auto"/>
        <w:jc w:val="center"/>
        <w:rPr>
          <w:noProof/>
        </w:rPr>
      </w:pPr>
    </w:p>
    <w:p w14:paraId="7007B73C" w14:textId="77777777" w:rsidR="0035051B" w:rsidRDefault="0035051B" w:rsidP="0035051B">
      <w:pPr>
        <w:pStyle w:val="Bezodstpw"/>
        <w:tabs>
          <w:tab w:val="left" w:pos="1947"/>
        </w:tabs>
        <w:spacing w:line="240" w:lineRule="auto"/>
        <w:jc w:val="center"/>
        <w:rPr>
          <w:noProof/>
        </w:rPr>
      </w:pPr>
    </w:p>
    <w:p w14:paraId="15AF37C4" w14:textId="77777777" w:rsidR="0035051B" w:rsidRDefault="0035051B" w:rsidP="0035051B">
      <w:pPr>
        <w:pStyle w:val="Bezodstpw"/>
        <w:tabs>
          <w:tab w:val="left" w:pos="1947"/>
        </w:tabs>
        <w:spacing w:line="240" w:lineRule="auto"/>
        <w:jc w:val="center"/>
        <w:rPr>
          <w:noProof/>
        </w:rPr>
      </w:pPr>
    </w:p>
    <w:p w14:paraId="220F80E3" w14:textId="710CE93E" w:rsidR="0035051B" w:rsidRDefault="001A0E05" w:rsidP="0035051B">
      <w:pPr>
        <w:pStyle w:val="Bezodstpw"/>
        <w:tabs>
          <w:tab w:val="left" w:pos="1947"/>
        </w:tabs>
        <w:spacing w:line="240" w:lineRule="auto"/>
        <w:jc w:val="center"/>
        <w:rPr>
          <w:noProof/>
        </w:rPr>
      </w:pPr>
      <w:r w:rsidRPr="00D81CA5">
        <w:rPr>
          <w:noProof/>
        </w:rPr>
        <w:drawing>
          <wp:inline distT="0" distB="0" distL="0" distR="0" wp14:anchorId="175CDC66" wp14:editId="601FEC7C">
            <wp:extent cx="866775" cy="1059743"/>
            <wp:effectExtent l="0" t="0" r="0" b="7620"/>
            <wp:docPr id="1" name="Obraz 1" descr="Herb Gminy Słub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67660" cy="1060826"/>
                    </a:xfrm>
                    <a:prstGeom prst="rect">
                      <a:avLst/>
                    </a:prstGeom>
                  </pic:spPr>
                </pic:pic>
              </a:graphicData>
            </a:graphic>
          </wp:inline>
        </w:drawing>
      </w:r>
    </w:p>
    <w:p w14:paraId="380CDCDF" w14:textId="1A234F7E" w:rsidR="0035051B" w:rsidRDefault="0035051B" w:rsidP="0035051B">
      <w:pPr>
        <w:pStyle w:val="Bezodstpw"/>
        <w:tabs>
          <w:tab w:val="left" w:pos="1947"/>
        </w:tabs>
        <w:spacing w:line="240" w:lineRule="auto"/>
        <w:jc w:val="center"/>
        <w:rPr>
          <w:noProof/>
        </w:rPr>
      </w:pPr>
    </w:p>
    <w:p w14:paraId="57AD60F9" w14:textId="316E263F" w:rsidR="0035051B" w:rsidRDefault="0035051B" w:rsidP="0035051B">
      <w:pPr>
        <w:pStyle w:val="Bezodstpw"/>
        <w:tabs>
          <w:tab w:val="left" w:pos="1947"/>
        </w:tabs>
        <w:spacing w:line="240" w:lineRule="auto"/>
        <w:jc w:val="center"/>
        <w:rPr>
          <w:noProof/>
        </w:rPr>
      </w:pPr>
    </w:p>
    <w:p w14:paraId="69BE070A" w14:textId="26A7C35B" w:rsidR="0035051B" w:rsidRDefault="0035051B" w:rsidP="0035051B">
      <w:pPr>
        <w:pStyle w:val="Bezodstpw"/>
        <w:tabs>
          <w:tab w:val="left" w:pos="1947"/>
        </w:tabs>
        <w:spacing w:line="240" w:lineRule="auto"/>
        <w:jc w:val="center"/>
        <w:rPr>
          <w:noProof/>
        </w:rPr>
      </w:pPr>
    </w:p>
    <w:p w14:paraId="0CFE4DD5" w14:textId="12FC9AB4" w:rsidR="0035051B" w:rsidRDefault="0035051B" w:rsidP="0035051B">
      <w:pPr>
        <w:pStyle w:val="Bezodstpw"/>
        <w:tabs>
          <w:tab w:val="left" w:pos="1947"/>
        </w:tabs>
        <w:spacing w:line="240" w:lineRule="auto"/>
        <w:jc w:val="center"/>
        <w:rPr>
          <w:noProof/>
        </w:rPr>
      </w:pPr>
    </w:p>
    <w:p w14:paraId="7FC7B950" w14:textId="77777777" w:rsidR="0035051B" w:rsidRDefault="0035051B" w:rsidP="0035051B">
      <w:pPr>
        <w:pStyle w:val="Bezodstpw"/>
        <w:tabs>
          <w:tab w:val="left" w:pos="1947"/>
        </w:tabs>
        <w:spacing w:line="240" w:lineRule="auto"/>
        <w:jc w:val="center"/>
        <w:rPr>
          <w:noProof/>
        </w:rPr>
      </w:pPr>
    </w:p>
    <w:p w14:paraId="12C8CD1E" w14:textId="09E81BA1" w:rsidR="0035051B" w:rsidRPr="001A0E05" w:rsidRDefault="0035051B" w:rsidP="0035051B">
      <w:pPr>
        <w:pStyle w:val="Bezodstpw"/>
        <w:tabs>
          <w:tab w:val="left" w:pos="1947"/>
        </w:tabs>
        <w:spacing w:line="240" w:lineRule="auto"/>
        <w:jc w:val="center"/>
        <w:rPr>
          <w:rFonts w:cs="Arial"/>
          <w:b/>
          <w:color w:val="000000" w:themeColor="text1"/>
          <w:sz w:val="40"/>
          <w:szCs w:val="40"/>
        </w:rPr>
      </w:pPr>
      <w:r w:rsidRPr="001A0E05">
        <w:rPr>
          <w:rFonts w:cs="Arial"/>
          <w:b/>
          <w:color w:val="000000" w:themeColor="text1"/>
          <w:sz w:val="40"/>
          <w:szCs w:val="40"/>
        </w:rPr>
        <w:t xml:space="preserve">Sprawozdanie z przebiegu i wyników konsultacji projektu Strategii </w:t>
      </w:r>
      <w:r w:rsidR="001A0E05" w:rsidRPr="001A0E05">
        <w:rPr>
          <w:rFonts w:cs="Arial"/>
          <w:b/>
          <w:color w:val="000000" w:themeColor="text1"/>
          <w:sz w:val="40"/>
          <w:szCs w:val="40"/>
        </w:rPr>
        <w:t>Rozwoju Gminy Słubice na lata 2026-2035</w:t>
      </w:r>
    </w:p>
    <w:p w14:paraId="6267C241" w14:textId="77777777" w:rsidR="0035051B" w:rsidRDefault="0035051B" w:rsidP="0035051B">
      <w:pPr>
        <w:pStyle w:val="Bezodstpw"/>
        <w:tabs>
          <w:tab w:val="left" w:pos="1947"/>
        </w:tabs>
        <w:spacing w:line="240" w:lineRule="auto"/>
        <w:jc w:val="center"/>
        <w:rPr>
          <w:rFonts w:cs="Arial"/>
          <w:b/>
          <w:sz w:val="40"/>
          <w:szCs w:val="40"/>
        </w:rPr>
      </w:pPr>
    </w:p>
    <w:p w14:paraId="41941E6A" w14:textId="77777777" w:rsidR="0035051B" w:rsidRDefault="0035051B" w:rsidP="0035051B">
      <w:pPr>
        <w:pStyle w:val="Bezodstpw"/>
        <w:tabs>
          <w:tab w:val="left" w:pos="1947"/>
        </w:tabs>
        <w:spacing w:line="240" w:lineRule="auto"/>
        <w:jc w:val="center"/>
        <w:rPr>
          <w:rFonts w:cs="Arial"/>
          <w:b/>
          <w:sz w:val="40"/>
          <w:szCs w:val="40"/>
        </w:rPr>
      </w:pPr>
    </w:p>
    <w:p w14:paraId="6A5FAA70" w14:textId="77777777" w:rsidR="0035051B" w:rsidRDefault="0035051B" w:rsidP="0035051B">
      <w:pPr>
        <w:pStyle w:val="Bezodstpw"/>
        <w:tabs>
          <w:tab w:val="left" w:pos="1947"/>
        </w:tabs>
        <w:spacing w:line="240" w:lineRule="auto"/>
        <w:jc w:val="center"/>
        <w:rPr>
          <w:rFonts w:cs="Arial"/>
          <w:b/>
          <w:sz w:val="40"/>
          <w:szCs w:val="40"/>
        </w:rPr>
      </w:pPr>
    </w:p>
    <w:p w14:paraId="731A7409" w14:textId="77777777" w:rsidR="0035051B" w:rsidRPr="00B7526F" w:rsidRDefault="0035051B" w:rsidP="0035051B">
      <w:pPr>
        <w:pStyle w:val="Bezodstpw"/>
        <w:tabs>
          <w:tab w:val="left" w:pos="1947"/>
        </w:tabs>
        <w:spacing w:line="240" w:lineRule="auto"/>
        <w:jc w:val="center"/>
        <w:rPr>
          <w:rFonts w:cs="Arial"/>
          <w:b/>
          <w:sz w:val="40"/>
          <w:szCs w:val="40"/>
        </w:rPr>
      </w:pPr>
    </w:p>
    <w:p w14:paraId="58E265F1" w14:textId="09E10FAE" w:rsidR="0035051B" w:rsidRDefault="0035051B" w:rsidP="0035051B">
      <w:pPr>
        <w:rPr>
          <w:rFonts w:ascii="Arial" w:hAnsi="Arial" w:cs="Arial"/>
        </w:rPr>
      </w:pPr>
    </w:p>
    <w:p w14:paraId="006DC551" w14:textId="77777777" w:rsidR="0035051B" w:rsidRDefault="0035051B" w:rsidP="0035051B">
      <w:pPr>
        <w:jc w:val="center"/>
        <w:rPr>
          <w:rFonts w:ascii="Arial" w:hAnsi="Arial" w:cs="Arial"/>
        </w:rPr>
      </w:pPr>
    </w:p>
    <w:p w14:paraId="0E376415" w14:textId="77777777" w:rsidR="0035051B" w:rsidRDefault="0035051B" w:rsidP="0035051B">
      <w:pPr>
        <w:jc w:val="center"/>
        <w:rPr>
          <w:rFonts w:ascii="Arial" w:hAnsi="Arial" w:cs="Arial"/>
        </w:rPr>
      </w:pPr>
    </w:p>
    <w:p w14:paraId="7E07412F" w14:textId="77777777" w:rsidR="0035051B" w:rsidRDefault="0035051B" w:rsidP="0035051B">
      <w:pPr>
        <w:jc w:val="center"/>
        <w:rPr>
          <w:rFonts w:ascii="Arial" w:hAnsi="Arial" w:cs="Arial"/>
        </w:rPr>
      </w:pPr>
    </w:p>
    <w:p w14:paraId="775C9F52" w14:textId="77777777" w:rsidR="0035051B" w:rsidRDefault="0035051B" w:rsidP="0035051B">
      <w:pPr>
        <w:jc w:val="center"/>
        <w:rPr>
          <w:rFonts w:ascii="Arial" w:hAnsi="Arial" w:cs="Arial"/>
        </w:rPr>
      </w:pPr>
    </w:p>
    <w:p w14:paraId="3758FCF5" w14:textId="77777777" w:rsidR="0035051B" w:rsidRDefault="0035051B" w:rsidP="0035051B">
      <w:pPr>
        <w:jc w:val="center"/>
        <w:rPr>
          <w:rFonts w:ascii="Arial" w:hAnsi="Arial" w:cs="Arial"/>
        </w:rPr>
      </w:pPr>
    </w:p>
    <w:p w14:paraId="6BED19B2" w14:textId="77777777" w:rsidR="0035051B" w:rsidRDefault="0035051B" w:rsidP="0035051B">
      <w:pPr>
        <w:jc w:val="center"/>
        <w:rPr>
          <w:rFonts w:ascii="Arial" w:hAnsi="Arial" w:cs="Arial"/>
        </w:rPr>
      </w:pPr>
    </w:p>
    <w:p w14:paraId="5420848C" w14:textId="77777777" w:rsidR="0035051B" w:rsidRDefault="0035051B" w:rsidP="0035051B">
      <w:pPr>
        <w:jc w:val="center"/>
        <w:rPr>
          <w:rFonts w:ascii="Arial" w:hAnsi="Arial" w:cs="Arial"/>
        </w:rPr>
      </w:pPr>
    </w:p>
    <w:p w14:paraId="7E89C732" w14:textId="77777777" w:rsidR="0035051B" w:rsidRPr="00B12CBA" w:rsidRDefault="0035051B" w:rsidP="0035051B">
      <w:pPr>
        <w:jc w:val="center"/>
        <w:rPr>
          <w:rFonts w:ascii="Arial" w:hAnsi="Arial" w:cs="Arial"/>
        </w:rPr>
      </w:pPr>
    </w:p>
    <w:p w14:paraId="083C02C2" w14:textId="23132E86" w:rsidR="0035051B" w:rsidRPr="001A0E05" w:rsidRDefault="001A0E05" w:rsidP="0035051B">
      <w:pPr>
        <w:pStyle w:val="Bezodstpw"/>
        <w:spacing w:line="240" w:lineRule="auto"/>
        <w:ind w:right="0"/>
        <w:jc w:val="center"/>
        <w:rPr>
          <w:rFonts w:cs="Arial"/>
          <w:b/>
          <w:color w:val="000000" w:themeColor="text1"/>
        </w:rPr>
        <w:sectPr w:rsidR="0035051B" w:rsidRPr="001A0E05" w:rsidSect="0035051B">
          <w:footerReference w:type="default" r:id="rId8"/>
          <w:footerReference w:type="first" r:id="rId9"/>
          <w:pgSz w:w="11906" w:h="16838"/>
          <w:pgMar w:top="1418" w:right="1418" w:bottom="1418" w:left="1418" w:header="709" w:footer="709" w:gutter="0"/>
          <w:pgBorders w:display="firstPage"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titlePg/>
          <w:docGrid w:linePitch="360"/>
        </w:sectPr>
      </w:pPr>
      <w:r w:rsidRPr="001A0E05">
        <w:rPr>
          <w:rFonts w:cs="Arial"/>
          <w:b/>
          <w:color w:val="000000" w:themeColor="text1"/>
        </w:rPr>
        <w:t>Słubice</w:t>
      </w:r>
      <w:r w:rsidR="0035051B" w:rsidRPr="001A0E05">
        <w:rPr>
          <w:rFonts w:cs="Arial"/>
          <w:b/>
          <w:color w:val="000000" w:themeColor="text1"/>
        </w:rPr>
        <w:t xml:space="preserve"> 202</w:t>
      </w:r>
      <w:r w:rsidR="00E07A11" w:rsidRPr="001A0E05">
        <w:rPr>
          <w:rFonts w:cs="Arial"/>
          <w:b/>
          <w:color w:val="000000" w:themeColor="text1"/>
        </w:rPr>
        <w:t>5</w:t>
      </w:r>
    </w:p>
    <w:bookmarkEnd w:id="0"/>
    <w:p w14:paraId="53CD6A8D" w14:textId="77777777" w:rsidR="00223738" w:rsidRPr="008A3A75" w:rsidRDefault="00223738" w:rsidP="00223738">
      <w:pPr>
        <w:pStyle w:val="Nagwek1"/>
        <w:rPr>
          <w:color w:val="000000" w:themeColor="text1"/>
        </w:rPr>
      </w:pPr>
      <w:r w:rsidRPr="008A3A75">
        <w:rPr>
          <w:color w:val="000000" w:themeColor="text1"/>
        </w:rPr>
        <w:lastRenderedPageBreak/>
        <w:t>Wstęp</w:t>
      </w:r>
      <w:bookmarkEnd w:id="1"/>
    </w:p>
    <w:p w14:paraId="49C2B9FA" w14:textId="6FE7F673" w:rsidR="00C67F4B" w:rsidRPr="008A3A75" w:rsidRDefault="00C67F4B" w:rsidP="00C67F4B">
      <w:pPr>
        <w:spacing w:before="120" w:after="120" w:line="360" w:lineRule="auto"/>
        <w:jc w:val="both"/>
        <w:rPr>
          <w:rFonts w:ascii="Arial" w:hAnsi="Arial" w:cs="Arial"/>
          <w:color w:val="000000" w:themeColor="text1"/>
        </w:rPr>
      </w:pPr>
      <w:r w:rsidRPr="008A3A75">
        <w:rPr>
          <w:rFonts w:ascii="Arial" w:hAnsi="Arial" w:cs="Arial"/>
          <w:color w:val="000000" w:themeColor="text1"/>
        </w:rPr>
        <w:t xml:space="preserve">Zgodnie z art. 6 ust. 3 ustawy z dnia 6 grudnia 2006 r. o zasadach prowadzenia polityki rozwoju (Dz.U. </w:t>
      </w:r>
      <w:r w:rsidR="008A3A75" w:rsidRPr="008A3A75">
        <w:rPr>
          <w:rFonts w:ascii="Arial" w:hAnsi="Arial" w:cs="Arial"/>
          <w:color w:val="000000" w:themeColor="text1"/>
        </w:rPr>
        <w:t>2025</w:t>
      </w:r>
      <w:r w:rsidRPr="008A3A75">
        <w:rPr>
          <w:rFonts w:ascii="Arial" w:hAnsi="Arial" w:cs="Arial"/>
          <w:color w:val="000000" w:themeColor="text1"/>
        </w:rPr>
        <w:t xml:space="preserve"> poz. </w:t>
      </w:r>
      <w:r w:rsidR="008A3A75" w:rsidRPr="008A3A75">
        <w:rPr>
          <w:rFonts w:ascii="Arial" w:hAnsi="Arial" w:cs="Arial"/>
          <w:color w:val="000000" w:themeColor="text1"/>
        </w:rPr>
        <w:t>198</w:t>
      </w:r>
      <w:r w:rsidRPr="008A3A75">
        <w:rPr>
          <w:rFonts w:ascii="Arial" w:hAnsi="Arial" w:cs="Arial"/>
          <w:color w:val="000000" w:themeColor="text1"/>
        </w:rPr>
        <w:t xml:space="preserve">) oraz uchwałą </w:t>
      </w:r>
      <w:r w:rsidR="008A3A75" w:rsidRPr="008A3A75">
        <w:rPr>
          <w:rFonts w:ascii="Arial" w:hAnsi="Arial" w:cs="Arial"/>
          <w:color w:val="000000" w:themeColor="text1"/>
        </w:rPr>
        <w:t xml:space="preserve">nr XIV.70.2025 Rady Gminy Słubice z dnia 19 maja 2025 w sprawie określenia szczegółowego trybu i harmonogramu opracowania projektu Strategii Rozwoju Gminy Słubice na lata 2026-2035 w tym trybu </w:t>
      </w:r>
      <w:r w:rsidRPr="008A3A75">
        <w:rPr>
          <w:rFonts w:ascii="Arial" w:hAnsi="Arial" w:cs="Arial"/>
          <w:color w:val="000000" w:themeColor="text1"/>
        </w:rPr>
        <w:t xml:space="preserve">konsultacji, o których mowa w art.6 ust.3 ustawy z dnia 6 grudnia 2006 r. o zasadach prowadzenia polityki rozwoju, </w:t>
      </w:r>
      <w:r w:rsidR="008A3A75" w:rsidRPr="008A3A75">
        <w:rPr>
          <w:rFonts w:ascii="Arial" w:hAnsi="Arial" w:cs="Arial"/>
          <w:color w:val="000000" w:themeColor="text1"/>
        </w:rPr>
        <w:t>Wójt Gminy Słubice</w:t>
      </w:r>
      <w:r w:rsidRPr="008A3A75">
        <w:rPr>
          <w:rFonts w:ascii="Arial" w:hAnsi="Arial" w:cs="Arial"/>
          <w:color w:val="000000" w:themeColor="text1"/>
        </w:rPr>
        <w:t xml:space="preserve"> zawiadomił o opracowaniu i wyłożeniu do publicznego wglądu projektu „Strategii Rozwoju </w:t>
      </w:r>
      <w:r w:rsidR="008A3A75" w:rsidRPr="008A3A75">
        <w:rPr>
          <w:rFonts w:ascii="Arial" w:hAnsi="Arial" w:cs="Arial"/>
          <w:color w:val="000000" w:themeColor="text1"/>
        </w:rPr>
        <w:t>Gminy Słubice na lata 2026-2035</w:t>
      </w:r>
      <w:r w:rsidRPr="008A3A75">
        <w:rPr>
          <w:rFonts w:ascii="Arial" w:hAnsi="Arial" w:cs="Arial"/>
          <w:color w:val="000000" w:themeColor="text1"/>
        </w:rPr>
        <w:t>”.</w:t>
      </w:r>
    </w:p>
    <w:p w14:paraId="4E6597A4" w14:textId="4C8C355F" w:rsidR="00C67F4B" w:rsidRPr="00327867" w:rsidRDefault="00C67F4B" w:rsidP="00C67F4B">
      <w:pPr>
        <w:spacing w:before="120" w:after="120" w:line="360" w:lineRule="auto"/>
        <w:jc w:val="both"/>
        <w:rPr>
          <w:rFonts w:ascii="Arial" w:hAnsi="Arial" w:cs="Arial"/>
          <w:color w:val="000000" w:themeColor="text1"/>
        </w:rPr>
      </w:pPr>
      <w:r w:rsidRPr="008A3A75">
        <w:rPr>
          <w:rFonts w:ascii="Arial" w:hAnsi="Arial" w:cs="Arial"/>
          <w:color w:val="000000" w:themeColor="text1"/>
        </w:rPr>
        <w:t xml:space="preserve">Do wzięcia udziału w konsultacjach poprzez ogłoszenie zaproszono mieszkańców Gminy </w:t>
      </w:r>
      <w:r w:rsidR="008A3A75" w:rsidRPr="008A3A75">
        <w:rPr>
          <w:rFonts w:ascii="Arial" w:hAnsi="Arial" w:cs="Arial"/>
          <w:color w:val="000000" w:themeColor="text1"/>
        </w:rPr>
        <w:t>Słubice</w:t>
      </w:r>
      <w:r w:rsidRPr="008A3A75">
        <w:rPr>
          <w:rFonts w:ascii="Arial" w:hAnsi="Arial" w:cs="Arial"/>
          <w:color w:val="000000" w:themeColor="text1"/>
        </w:rPr>
        <w:t xml:space="preserve">, gminy sąsiednie, lokalnych partnerów społecznych i gospodarczych, Dyrektora Regionalnego Zarządu Gospodarki Wodnej w </w:t>
      </w:r>
      <w:r w:rsidR="008A3A75" w:rsidRPr="008A3A75">
        <w:rPr>
          <w:rFonts w:ascii="Arial" w:hAnsi="Arial" w:cs="Arial"/>
          <w:color w:val="000000" w:themeColor="text1"/>
        </w:rPr>
        <w:t>Warszawie</w:t>
      </w:r>
      <w:r w:rsidRPr="008A3A75">
        <w:rPr>
          <w:rFonts w:ascii="Arial" w:hAnsi="Arial" w:cs="Arial"/>
          <w:color w:val="000000" w:themeColor="text1"/>
        </w:rPr>
        <w:t xml:space="preserve"> do zapoznania się z projektem </w:t>
      </w:r>
      <w:r w:rsidRPr="00327867">
        <w:rPr>
          <w:rFonts w:ascii="Arial" w:hAnsi="Arial" w:cs="Arial"/>
          <w:color w:val="000000" w:themeColor="text1"/>
        </w:rPr>
        <w:t xml:space="preserve">„Strategii Rozwoju </w:t>
      </w:r>
      <w:r w:rsidR="008A3A75" w:rsidRPr="00327867">
        <w:rPr>
          <w:rFonts w:ascii="Arial" w:hAnsi="Arial" w:cs="Arial"/>
          <w:color w:val="000000" w:themeColor="text1"/>
        </w:rPr>
        <w:t>Gminy Słubice na lata 2026-2035</w:t>
      </w:r>
      <w:r w:rsidRPr="00327867">
        <w:rPr>
          <w:rFonts w:ascii="Arial" w:hAnsi="Arial" w:cs="Arial"/>
          <w:color w:val="000000" w:themeColor="text1"/>
        </w:rPr>
        <w:t>”.</w:t>
      </w:r>
    </w:p>
    <w:p w14:paraId="2A775708" w14:textId="3FB32514" w:rsidR="00C67F4B" w:rsidRPr="00327867" w:rsidRDefault="00C67F4B" w:rsidP="00C67F4B">
      <w:pPr>
        <w:spacing w:before="120" w:after="120" w:line="360" w:lineRule="auto"/>
        <w:rPr>
          <w:rFonts w:ascii="Arial" w:hAnsi="Arial" w:cs="Arial"/>
          <w:color w:val="000000" w:themeColor="text1"/>
        </w:rPr>
      </w:pPr>
      <w:r w:rsidRPr="00327867">
        <w:rPr>
          <w:rFonts w:ascii="Arial" w:hAnsi="Arial" w:cs="Arial"/>
          <w:color w:val="000000" w:themeColor="text1"/>
        </w:rPr>
        <w:t xml:space="preserve">Konsultacje trwały od </w:t>
      </w:r>
      <w:r w:rsidR="00327867" w:rsidRPr="00327867">
        <w:rPr>
          <w:rFonts w:ascii="Arial" w:hAnsi="Arial" w:cs="Arial"/>
          <w:color w:val="000000" w:themeColor="text1"/>
        </w:rPr>
        <w:t>18.09.2025 r.</w:t>
      </w:r>
      <w:r w:rsidRPr="00327867">
        <w:rPr>
          <w:rFonts w:ascii="Arial" w:hAnsi="Arial" w:cs="Arial"/>
          <w:color w:val="000000" w:themeColor="text1"/>
        </w:rPr>
        <w:t xml:space="preserve"> do </w:t>
      </w:r>
      <w:r w:rsidR="00327867" w:rsidRPr="00327867">
        <w:rPr>
          <w:rFonts w:ascii="Arial" w:hAnsi="Arial" w:cs="Arial"/>
          <w:color w:val="000000" w:themeColor="text1"/>
        </w:rPr>
        <w:t>22.10.2025 r.</w:t>
      </w:r>
      <w:r w:rsidRPr="00327867">
        <w:rPr>
          <w:rFonts w:ascii="Arial" w:hAnsi="Arial" w:cs="Arial"/>
          <w:color w:val="000000" w:themeColor="text1"/>
        </w:rPr>
        <w:t xml:space="preserve"> </w:t>
      </w:r>
    </w:p>
    <w:p w14:paraId="3F528953" w14:textId="7ADD640A" w:rsidR="00C67F4B" w:rsidRPr="00327867" w:rsidRDefault="00C67F4B" w:rsidP="00C67F4B">
      <w:pPr>
        <w:pStyle w:val="Bezodstpw"/>
        <w:rPr>
          <w:rFonts w:cs="Arial"/>
          <w:color w:val="000000" w:themeColor="text1"/>
          <w:shd w:val="clear" w:color="auto" w:fill="FFFFFF"/>
        </w:rPr>
      </w:pPr>
      <w:r w:rsidRPr="00327867">
        <w:rPr>
          <w:rFonts w:cs="Arial"/>
          <w:color w:val="000000" w:themeColor="text1"/>
        </w:rPr>
        <w:t xml:space="preserve">Wszyscy zainteresowani mieli prawo składać wnioski, zastrzeżenia bądź uwagi do projektu Strategii, które można było zgłaszać na udostępnionym formularzu, który następnie należało przesłać na adres </w:t>
      </w:r>
      <w:r w:rsidRPr="00327867">
        <w:rPr>
          <w:rFonts w:cs="Arial"/>
          <w:color w:val="000000" w:themeColor="text1"/>
          <w:shd w:val="clear" w:color="auto" w:fill="FFFFFF"/>
        </w:rPr>
        <w:t xml:space="preserve">Urzędu </w:t>
      </w:r>
      <w:r w:rsidR="00327867" w:rsidRPr="00327867">
        <w:rPr>
          <w:rFonts w:cs="Arial"/>
          <w:color w:val="000000" w:themeColor="text1"/>
        </w:rPr>
        <w:t xml:space="preserve">Gminy Słubice, ul. Płocka 32, 09-533 Słubice  </w:t>
      </w:r>
      <w:r w:rsidRPr="00327867">
        <w:rPr>
          <w:rFonts w:cs="Arial"/>
          <w:color w:val="000000" w:themeColor="text1"/>
          <w:shd w:val="clear" w:color="auto" w:fill="FFFFFF"/>
        </w:rPr>
        <w:t>lub złożyć osobiście w Urzędzie, lub przesłać zeskanowany za pośrednictwem poczty elektronicznej.</w:t>
      </w:r>
    </w:p>
    <w:p w14:paraId="0F4D7EC7" w14:textId="5BD734B9" w:rsidR="00223738" w:rsidRPr="00327867" w:rsidRDefault="002E68A5" w:rsidP="00223738">
      <w:pPr>
        <w:pStyle w:val="Nagwek1"/>
        <w:rPr>
          <w:color w:val="000000" w:themeColor="text1"/>
        </w:rPr>
      </w:pPr>
      <w:r w:rsidRPr="00327867">
        <w:rPr>
          <w:color w:val="000000" w:themeColor="text1"/>
        </w:rPr>
        <w:t xml:space="preserve">Wyniki konsultacji społecznych </w:t>
      </w:r>
    </w:p>
    <w:p w14:paraId="5781BF6E" w14:textId="300A8038" w:rsidR="003548E4" w:rsidRPr="00327867" w:rsidRDefault="003548E4" w:rsidP="003548E4">
      <w:pPr>
        <w:pStyle w:val="Bezodstpw"/>
        <w:rPr>
          <w:rFonts w:cs="Arial"/>
          <w:color w:val="000000" w:themeColor="text1"/>
        </w:rPr>
      </w:pPr>
      <w:r w:rsidRPr="00327867">
        <w:rPr>
          <w:rFonts w:cs="Arial"/>
          <w:color w:val="000000" w:themeColor="text1"/>
        </w:rPr>
        <w:t xml:space="preserve">W trakcie konsultacji społecznych w wyznaczonym terminie wpłynęły uwagi i sugestie od </w:t>
      </w:r>
      <w:r w:rsidR="00327867" w:rsidRPr="00327867">
        <w:rPr>
          <w:rFonts w:cs="Arial"/>
          <w:color w:val="000000" w:themeColor="text1"/>
        </w:rPr>
        <w:t>Państwowego Gospodarstwa Wodnego Wody Polskie</w:t>
      </w:r>
      <w:r w:rsidR="00704201">
        <w:rPr>
          <w:rFonts w:cs="Arial"/>
          <w:color w:val="000000" w:themeColor="text1"/>
        </w:rPr>
        <w:t xml:space="preserve"> Regionalny Zarząd Gospodarki Wodnej w Warszawie</w:t>
      </w:r>
      <w:r w:rsidRPr="00327867">
        <w:rPr>
          <w:rFonts w:cs="Arial"/>
          <w:color w:val="000000" w:themeColor="text1"/>
        </w:rPr>
        <w:t>. Ich treść oraz sposób uwzględnienia przedstawiono poniżej w formie tabelarycznej.</w:t>
      </w:r>
    </w:p>
    <w:p w14:paraId="32C4D7D1" w14:textId="77777777" w:rsidR="002E68A5" w:rsidRDefault="002E68A5" w:rsidP="00223738">
      <w:pPr>
        <w:pStyle w:val="Bezodstpw"/>
        <w:ind w:right="0"/>
      </w:pPr>
    </w:p>
    <w:p w14:paraId="44984138" w14:textId="0D55ECF4" w:rsidR="002E68A5" w:rsidRDefault="002E68A5" w:rsidP="00223738">
      <w:pPr>
        <w:pStyle w:val="Bezodstpw"/>
        <w:ind w:right="0"/>
      </w:pPr>
    </w:p>
    <w:p w14:paraId="3470018B" w14:textId="77777777" w:rsidR="0035051B" w:rsidRDefault="0035051B" w:rsidP="00223738">
      <w:pPr>
        <w:pStyle w:val="Bezodstpw"/>
        <w:ind w:right="0"/>
      </w:pPr>
    </w:p>
    <w:p w14:paraId="0D76A65B" w14:textId="77777777" w:rsidR="0035051B" w:rsidRDefault="0035051B" w:rsidP="00062BCA">
      <w:pPr>
        <w:pStyle w:val="Style4"/>
        <w:widowControl/>
        <w:spacing w:before="60" w:after="60" w:line="240" w:lineRule="auto"/>
        <w:rPr>
          <w:rStyle w:val="FontStyle13"/>
          <w:b/>
        </w:rPr>
        <w:sectPr w:rsidR="0035051B" w:rsidSect="002E68A5">
          <w:pgSz w:w="11906" w:h="16838"/>
          <w:pgMar w:top="1417" w:right="1417" w:bottom="1560" w:left="1417" w:header="708" w:footer="708" w:gutter="0"/>
          <w:cols w:space="708"/>
          <w:docGrid w:linePitch="360"/>
        </w:sect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13"/>
        <w:gridCol w:w="7228"/>
        <w:gridCol w:w="4490"/>
      </w:tblGrid>
      <w:tr w:rsidR="0035051B" w:rsidRPr="00FE0DBA" w14:paraId="39875CB7" w14:textId="77777777" w:rsidTr="00704201">
        <w:trPr>
          <w:trHeight w:val="20"/>
          <w:tblHeader/>
          <w:jc w:val="center"/>
        </w:trPr>
        <w:tc>
          <w:tcPr>
            <w:tcW w:w="764" w:type="pct"/>
            <w:shd w:val="clear" w:color="auto" w:fill="BFBFBF" w:themeFill="background1" w:themeFillShade="BF"/>
            <w:vAlign w:val="center"/>
          </w:tcPr>
          <w:p w14:paraId="5D5DF633" w14:textId="47F7EE1D" w:rsidR="0035051B" w:rsidRPr="001469BF" w:rsidRDefault="0035051B" w:rsidP="002F4629">
            <w:pPr>
              <w:pStyle w:val="Style4"/>
              <w:widowControl/>
              <w:spacing w:before="60" w:after="60" w:line="240" w:lineRule="auto"/>
              <w:rPr>
                <w:rStyle w:val="FontStyle13"/>
                <w:b/>
              </w:rPr>
            </w:pPr>
            <w:r w:rsidRPr="001469BF">
              <w:rPr>
                <w:rStyle w:val="FontStyle13"/>
                <w:b/>
              </w:rPr>
              <w:lastRenderedPageBreak/>
              <w:t>Treść, w której proponuje się zmiany (rozdział, strona, punkt)</w:t>
            </w:r>
          </w:p>
        </w:tc>
        <w:tc>
          <w:tcPr>
            <w:tcW w:w="2613" w:type="pct"/>
            <w:shd w:val="clear" w:color="auto" w:fill="BFBFBF" w:themeFill="background1" w:themeFillShade="BF"/>
            <w:vAlign w:val="center"/>
          </w:tcPr>
          <w:p w14:paraId="78BAE74E" w14:textId="77777777" w:rsidR="0035051B" w:rsidRPr="001469BF" w:rsidRDefault="0035051B" w:rsidP="002F4629">
            <w:pPr>
              <w:pStyle w:val="Style4"/>
              <w:widowControl/>
              <w:spacing w:before="60" w:after="60" w:line="240" w:lineRule="auto"/>
              <w:rPr>
                <w:rStyle w:val="FontStyle13"/>
                <w:b/>
              </w:rPr>
            </w:pPr>
            <w:r w:rsidRPr="001469BF">
              <w:rPr>
                <w:rStyle w:val="FontStyle13"/>
                <w:b/>
              </w:rPr>
              <w:t>Treść uwagi/ propozycja zmiany</w:t>
            </w:r>
          </w:p>
        </w:tc>
        <w:tc>
          <w:tcPr>
            <w:tcW w:w="1623" w:type="pct"/>
            <w:shd w:val="clear" w:color="auto" w:fill="BFBFBF" w:themeFill="background1" w:themeFillShade="BF"/>
            <w:vAlign w:val="center"/>
          </w:tcPr>
          <w:p w14:paraId="354880F1" w14:textId="4A9383F7" w:rsidR="0035051B" w:rsidRPr="001469BF" w:rsidRDefault="000A1D02" w:rsidP="002F4629">
            <w:pPr>
              <w:pStyle w:val="Style4"/>
              <w:widowControl/>
              <w:spacing w:before="60" w:after="60" w:line="240" w:lineRule="auto"/>
              <w:rPr>
                <w:rStyle w:val="FontStyle13"/>
                <w:b/>
              </w:rPr>
            </w:pPr>
            <w:r w:rsidRPr="001469BF">
              <w:rPr>
                <w:rStyle w:val="FontStyle13"/>
                <w:b/>
              </w:rPr>
              <w:t>Realizacja uwagi/ propozycji zmiany</w:t>
            </w:r>
          </w:p>
        </w:tc>
      </w:tr>
      <w:tr w:rsidR="0035051B" w:rsidRPr="00FE0DBA" w14:paraId="4053FCDE" w14:textId="77777777" w:rsidTr="00704201">
        <w:trPr>
          <w:trHeight w:val="703"/>
          <w:jc w:val="center"/>
        </w:trPr>
        <w:tc>
          <w:tcPr>
            <w:tcW w:w="764" w:type="pct"/>
            <w:vAlign w:val="center"/>
          </w:tcPr>
          <w:p w14:paraId="7248519F" w14:textId="3EBFA777" w:rsidR="0035051B" w:rsidRPr="001469BF" w:rsidRDefault="00704201" w:rsidP="002F4629">
            <w:pPr>
              <w:pStyle w:val="Style4"/>
              <w:widowControl/>
              <w:spacing w:before="60" w:after="60" w:line="240" w:lineRule="auto"/>
              <w:rPr>
                <w:rStyle w:val="FontStyle13"/>
              </w:rPr>
            </w:pPr>
            <w:r w:rsidRPr="001469BF">
              <w:rPr>
                <w:rStyle w:val="FontStyle13"/>
              </w:rPr>
              <w:t>-</w:t>
            </w:r>
          </w:p>
        </w:tc>
        <w:tc>
          <w:tcPr>
            <w:tcW w:w="2613" w:type="pct"/>
            <w:vAlign w:val="center"/>
          </w:tcPr>
          <w:p w14:paraId="719FEFD5" w14:textId="7B6009FF" w:rsidR="00704201" w:rsidRPr="001469BF" w:rsidRDefault="00704201" w:rsidP="002F4629">
            <w:pPr>
              <w:spacing w:before="60" w:after="60" w:line="240" w:lineRule="auto"/>
              <w:jc w:val="both"/>
              <w:rPr>
                <w:rFonts w:ascii="Arial" w:hAnsi="Arial" w:cs="Arial"/>
                <w:sz w:val="20"/>
                <w:szCs w:val="20"/>
              </w:rPr>
            </w:pPr>
            <w:r w:rsidRPr="001469BF">
              <w:rPr>
                <w:rFonts w:ascii="Arial" w:hAnsi="Arial" w:cs="Arial"/>
                <w:sz w:val="20"/>
                <w:szCs w:val="20"/>
              </w:rPr>
              <w:t>Projekt powinien zawierać informacje dotyczące jednolitych części wód. Zgodnie z rozporządzeniem Ministra Infrastruktury z dnia 4 listopada 2022 r. w sprawie Planu gospodarowania wodami na obszarze dorzecza Wisły (Dz. U z 2023 r. poz. 300), działania wg II aktualizacji Planu gospodarowania wodami na obszarze dorzecza Wisły (IIaPGW) przypisane do kompetencji poszczególnych podmiotów, które mogą być istotne przy opracowywaniu strategii rozwoju gminy Słubice to:</w:t>
            </w:r>
          </w:p>
          <w:p w14:paraId="1FC0A602" w14:textId="77777777" w:rsidR="00704201" w:rsidRPr="001469BF" w:rsidRDefault="00704201" w:rsidP="002F4629">
            <w:pPr>
              <w:pStyle w:val="Akapitzlist"/>
              <w:numPr>
                <w:ilvl w:val="0"/>
                <w:numId w:val="58"/>
              </w:numPr>
              <w:spacing w:before="60" w:after="60" w:line="240" w:lineRule="auto"/>
              <w:ind w:left="1063" w:hanging="357"/>
              <w:contextualSpacing w:val="0"/>
              <w:jc w:val="both"/>
              <w:rPr>
                <w:rFonts w:ascii="Arial" w:hAnsi="Arial" w:cs="Arial"/>
                <w:sz w:val="20"/>
                <w:szCs w:val="20"/>
              </w:rPr>
            </w:pPr>
            <w:r w:rsidRPr="001469BF">
              <w:rPr>
                <w:rFonts w:ascii="Arial" w:hAnsi="Arial" w:cs="Arial"/>
                <w:sz w:val="20"/>
                <w:szCs w:val="20"/>
              </w:rPr>
              <w:t>działania do realizowania przez gminę:</w:t>
            </w:r>
          </w:p>
          <w:p w14:paraId="3CAD564C" w14:textId="77777777" w:rsidR="00704201" w:rsidRPr="001469BF" w:rsidRDefault="00704201" w:rsidP="002F4629">
            <w:pPr>
              <w:pStyle w:val="Akapitzlist"/>
              <w:numPr>
                <w:ilvl w:val="0"/>
                <w:numId w:val="60"/>
              </w:numPr>
              <w:spacing w:before="60" w:after="60" w:line="240" w:lineRule="auto"/>
              <w:contextualSpacing w:val="0"/>
              <w:jc w:val="both"/>
              <w:rPr>
                <w:rFonts w:ascii="Arial" w:hAnsi="Arial" w:cs="Arial"/>
                <w:sz w:val="20"/>
                <w:szCs w:val="20"/>
              </w:rPr>
            </w:pPr>
            <w:r w:rsidRPr="001469BF">
              <w:rPr>
                <w:rFonts w:ascii="Arial" w:hAnsi="Arial" w:cs="Arial"/>
                <w:sz w:val="20"/>
                <w:szCs w:val="20"/>
              </w:rPr>
              <w:t>Uporządkowanie i poprawa infrastruktury związanej z gospodarką ściekową na obszarze gminy poza aglomeracjami,</w:t>
            </w:r>
          </w:p>
          <w:p w14:paraId="60D46498" w14:textId="77777777" w:rsidR="00704201" w:rsidRPr="001469BF" w:rsidRDefault="00704201" w:rsidP="002F4629">
            <w:pPr>
              <w:pStyle w:val="Akapitzlist"/>
              <w:numPr>
                <w:ilvl w:val="0"/>
                <w:numId w:val="60"/>
              </w:numPr>
              <w:spacing w:before="60" w:after="60" w:line="240" w:lineRule="auto"/>
              <w:contextualSpacing w:val="0"/>
              <w:jc w:val="both"/>
              <w:rPr>
                <w:rFonts w:ascii="Arial" w:hAnsi="Arial" w:cs="Arial"/>
                <w:sz w:val="20"/>
                <w:szCs w:val="20"/>
              </w:rPr>
            </w:pPr>
            <w:r w:rsidRPr="001469BF">
              <w:rPr>
                <w:rFonts w:ascii="Arial" w:hAnsi="Arial" w:cs="Arial"/>
                <w:sz w:val="20"/>
                <w:szCs w:val="20"/>
              </w:rPr>
              <w:t>Aktualizacja programu ochrony środowiska pod kątem poprawy efektywności dotyczącej ograniczania dopływu zanieczyszczeń do JCWP;</w:t>
            </w:r>
          </w:p>
          <w:p w14:paraId="4F2403E5" w14:textId="77777777" w:rsidR="00704201" w:rsidRPr="001469BF" w:rsidRDefault="00704201" w:rsidP="002F4629">
            <w:pPr>
              <w:pStyle w:val="Akapitzlist"/>
              <w:numPr>
                <w:ilvl w:val="0"/>
                <w:numId w:val="58"/>
              </w:numPr>
              <w:spacing w:before="60" w:after="60" w:line="240" w:lineRule="auto"/>
              <w:jc w:val="both"/>
              <w:rPr>
                <w:rFonts w:ascii="Arial" w:hAnsi="Arial" w:cs="Arial"/>
                <w:sz w:val="20"/>
                <w:szCs w:val="20"/>
              </w:rPr>
            </w:pPr>
            <w:r w:rsidRPr="001469BF">
              <w:rPr>
                <w:rFonts w:ascii="Arial" w:hAnsi="Arial" w:cs="Arial"/>
                <w:sz w:val="20"/>
                <w:szCs w:val="20"/>
              </w:rPr>
              <w:t>działania do realizowania przez właścicieli urządzeń wodnych:</w:t>
            </w:r>
          </w:p>
          <w:p w14:paraId="33B63884" w14:textId="77777777" w:rsidR="00704201" w:rsidRPr="001469BF" w:rsidRDefault="00704201" w:rsidP="002F4629">
            <w:pPr>
              <w:pStyle w:val="Akapitzlist"/>
              <w:numPr>
                <w:ilvl w:val="2"/>
                <w:numId w:val="58"/>
              </w:numPr>
              <w:spacing w:before="60" w:after="60" w:line="240" w:lineRule="auto"/>
              <w:jc w:val="both"/>
              <w:rPr>
                <w:rFonts w:ascii="Arial" w:hAnsi="Arial" w:cs="Arial"/>
                <w:sz w:val="20"/>
                <w:szCs w:val="20"/>
              </w:rPr>
            </w:pPr>
            <w:r w:rsidRPr="001469BF">
              <w:rPr>
                <w:rFonts w:ascii="Arial" w:hAnsi="Arial" w:cs="Arial"/>
                <w:sz w:val="20"/>
                <w:szCs w:val="20"/>
              </w:rPr>
              <w:t>Analiza możliwości przebudowy budowli piętrzących w zakresie zapewniającym ciągłość biologiczną i spełnienie celów środowiskowych,</w:t>
            </w:r>
          </w:p>
          <w:p w14:paraId="757A06D1" w14:textId="77777777" w:rsidR="000A5210" w:rsidRPr="001469BF" w:rsidRDefault="00704201" w:rsidP="002F4629">
            <w:pPr>
              <w:pStyle w:val="Akapitzlist"/>
              <w:numPr>
                <w:ilvl w:val="2"/>
                <w:numId w:val="58"/>
              </w:numPr>
              <w:spacing w:before="60" w:after="60" w:line="240" w:lineRule="auto"/>
              <w:jc w:val="both"/>
              <w:rPr>
                <w:rFonts w:ascii="Arial" w:hAnsi="Arial" w:cs="Arial"/>
                <w:sz w:val="20"/>
                <w:szCs w:val="20"/>
              </w:rPr>
            </w:pPr>
            <w:r w:rsidRPr="001469BF">
              <w:rPr>
                <w:rFonts w:ascii="Arial" w:hAnsi="Arial" w:cs="Arial"/>
                <w:sz w:val="20"/>
                <w:szCs w:val="20"/>
              </w:rPr>
              <w:t>Budowa przepławki, przywrócenie drożności odcinków rzek,</w:t>
            </w:r>
          </w:p>
          <w:p w14:paraId="5B704442" w14:textId="5CDF16C9" w:rsidR="0035051B" w:rsidRPr="001469BF" w:rsidRDefault="00704201" w:rsidP="002F4629">
            <w:pPr>
              <w:pStyle w:val="Akapitzlist"/>
              <w:numPr>
                <w:ilvl w:val="2"/>
                <w:numId w:val="58"/>
              </w:numPr>
              <w:spacing w:before="60" w:after="60" w:line="240" w:lineRule="auto"/>
              <w:jc w:val="both"/>
              <w:rPr>
                <w:rStyle w:val="FontStyle13"/>
                <w:color w:val="auto"/>
              </w:rPr>
            </w:pPr>
            <w:r w:rsidRPr="001469BF">
              <w:rPr>
                <w:rFonts w:ascii="Arial" w:hAnsi="Arial" w:cs="Arial"/>
                <w:sz w:val="20"/>
                <w:szCs w:val="20"/>
              </w:rPr>
              <w:t>Budowa przepławki, przywrócenie drożności odcinków rzek na kanale A przy Stopniu Wodnym Włocławek w związku z budową kolejnego stopnia wodnego poniżej Włocławka</w:t>
            </w:r>
          </w:p>
        </w:tc>
        <w:tc>
          <w:tcPr>
            <w:tcW w:w="1623" w:type="pct"/>
            <w:vAlign w:val="center"/>
          </w:tcPr>
          <w:p w14:paraId="09CEE904" w14:textId="742BE2A6" w:rsidR="0035051B" w:rsidRPr="001469BF" w:rsidRDefault="000A5210" w:rsidP="002F4629">
            <w:pPr>
              <w:spacing w:before="60" w:after="60" w:line="240" w:lineRule="auto"/>
              <w:jc w:val="center"/>
              <w:rPr>
                <w:rStyle w:val="FontStyle13"/>
              </w:rPr>
            </w:pPr>
            <w:r w:rsidRPr="001469BF">
              <w:rPr>
                <w:rStyle w:val="FontStyle13"/>
              </w:rPr>
              <w:t>Uwaga nie została uwzględniona, gdyż w</w:t>
            </w:r>
            <w:r w:rsidR="00704201" w:rsidRPr="001469BF">
              <w:rPr>
                <w:rStyle w:val="FontStyle13"/>
              </w:rPr>
              <w:t xml:space="preserve"> rozdziale 3.2 przedstawione są informację dotyczące jednolitych części wód.</w:t>
            </w:r>
          </w:p>
          <w:p w14:paraId="7CF78FC9" w14:textId="78C41129" w:rsidR="00704201" w:rsidRPr="001469BF" w:rsidRDefault="000A5210" w:rsidP="002F4629">
            <w:pPr>
              <w:spacing w:before="60" w:after="60" w:line="240" w:lineRule="auto"/>
              <w:jc w:val="center"/>
              <w:rPr>
                <w:rStyle w:val="FontStyle13"/>
              </w:rPr>
            </w:pPr>
            <w:r w:rsidRPr="001469BF">
              <w:rPr>
                <w:rStyle w:val="FontStyle13"/>
              </w:rPr>
              <w:t xml:space="preserve">W rozdziale 2 przy celu strategicznym 4 dla kierunku Retencja i ochrona zasobów wodnych wskazano jako rezultat realizację działań wskazanych w Planie Gospodarowania Wodami dla dorzecza Wisły jako możliwych do wdrożenia przez gminę. Ponadto w celu strategicznym 2 wskazano kierunek Rozwój infrastruktury technicznej, gdzie uwzględniono informację dot. rozbudowy i modernizacji sieci kanalizacyjnej. </w:t>
            </w:r>
          </w:p>
        </w:tc>
      </w:tr>
      <w:tr w:rsidR="0035051B" w:rsidRPr="00FE0DBA" w14:paraId="6611553B" w14:textId="77777777" w:rsidTr="00704201">
        <w:trPr>
          <w:trHeight w:val="703"/>
          <w:jc w:val="center"/>
        </w:trPr>
        <w:tc>
          <w:tcPr>
            <w:tcW w:w="764" w:type="pct"/>
            <w:vAlign w:val="center"/>
          </w:tcPr>
          <w:p w14:paraId="45EFD6C6" w14:textId="0B794EAD" w:rsidR="0035051B" w:rsidRPr="001469BF" w:rsidRDefault="00704201" w:rsidP="002F4629">
            <w:pPr>
              <w:pStyle w:val="Style4"/>
              <w:widowControl/>
              <w:spacing w:before="60" w:after="60" w:line="240" w:lineRule="auto"/>
              <w:rPr>
                <w:rStyle w:val="FontStyle13"/>
              </w:rPr>
            </w:pPr>
            <w:r w:rsidRPr="001469BF">
              <w:rPr>
                <w:rStyle w:val="FontStyle13"/>
              </w:rPr>
              <w:t>-</w:t>
            </w:r>
          </w:p>
        </w:tc>
        <w:tc>
          <w:tcPr>
            <w:tcW w:w="2613" w:type="pct"/>
            <w:vAlign w:val="center"/>
          </w:tcPr>
          <w:p w14:paraId="1D0F572D" w14:textId="2AA4A2DF" w:rsidR="0035051B" w:rsidRPr="001469BF" w:rsidRDefault="00704201" w:rsidP="002F4629">
            <w:pPr>
              <w:spacing w:before="60" w:after="60" w:line="240" w:lineRule="auto"/>
              <w:jc w:val="center"/>
              <w:rPr>
                <w:rStyle w:val="FontStyle13"/>
              </w:rPr>
            </w:pPr>
            <w:r w:rsidRPr="001469BF">
              <w:rPr>
                <w:rFonts w:ascii="Arial" w:hAnsi="Arial" w:cs="Arial"/>
                <w:sz w:val="20"/>
                <w:szCs w:val="20"/>
              </w:rPr>
              <w:t xml:space="preserve">Na podstawie map zagrożenia powodziowego o godłach arkuszy: N-34-124-D-a-2, N-34-124-D-a-4, N-34-124-D-b-1, N-34-124-D-b-3, N-34-124-D-b-4, N-34-124 D-d-2 </w:t>
            </w:r>
            <w:r w:rsidRPr="001469BF">
              <w:rPr>
                <w:rFonts w:ascii="Arial" w:hAnsi="Arial" w:cs="Arial"/>
                <w:color w:val="000000"/>
                <w:sz w:val="20"/>
                <w:szCs w:val="20"/>
                <w:shd w:val="clear" w:color="auto" w:fill="FFFFFF"/>
              </w:rPr>
              <w:t>udostępnionych do publicznej wiadomości na Biuletynie Informacji Publicznej Ministerstwa Klimatu i Środowiska z dnia 22 października 2020 r.</w:t>
            </w:r>
            <w:r w:rsidRPr="001469BF">
              <w:rPr>
                <w:rFonts w:ascii="Arial" w:hAnsi="Arial" w:cs="Arial"/>
                <w:sz w:val="20"/>
                <w:szCs w:val="20"/>
              </w:rPr>
              <w:t xml:space="preserve"> ustalono, że przedmiotowy teren znajduje się w zasięgu występowania obszarów szczególnego zagrożenia powodzią dla zalewu wodą Q1% oraz dla zalewu wodą Q10% od rzeki Wisły</w:t>
            </w:r>
          </w:p>
        </w:tc>
        <w:tc>
          <w:tcPr>
            <w:tcW w:w="1623" w:type="pct"/>
            <w:vAlign w:val="center"/>
          </w:tcPr>
          <w:p w14:paraId="70902CBD" w14:textId="6CEFE9E1" w:rsidR="0035051B" w:rsidRPr="001469BF" w:rsidRDefault="008E06E5" w:rsidP="002F4629">
            <w:pPr>
              <w:spacing w:before="60" w:after="60" w:line="240" w:lineRule="auto"/>
              <w:jc w:val="center"/>
              <w:rPr>
                <w:rStyle w:val="FontStyle13"/>
              </w:rPr>
            </w:pPr>
            <w:r w:rsidRPr="001469BF">
              <w:rPr>
                <w:rStyle w:val="FontStyle13"/>
              </w:rPr>
              <w:t xml:space="preserve">Dodano informację w rozdziale 3.2. z uszczegółowieniem informacji o zagrożeniu powodziowym, tj. </w:t>
            </w:r>
            <w:r w:rsidRPr="001469BF">
              <w:rPr>
                <w:rFonts w:ascii="Arial" w:hAnsi="Arial" w:cs="Arial"/>
                <w:sz w:val="20"/>
                <w:szCs w:val="20"/>
              </w:rPr>
              <w:t xml:space="preserve">Na podstawie map zagrożenia powodziowego: </w:t>
            </w:r>
            <w:r w:rsidRPr="001469BF">
              <w:rPr>
                <w:rFonts w:ascii="Arial" w:hAnsi="Arial" w:cs="Arial"/>
                <w:color w:val="000000"/>
                <w:sz w:val="20"/>
                <w:szCs w:val="20"/>
                <w:shd w:val="clear" w:color="auto" w:fill="FFFFFF"/>
              </w:rPr>
              <w:t>udostępnionych do publicznej wiadomości na Biuletynie Informacji Publicznej Ministerstwa Klimatu i Środowiska z dnia 22 października 2020 r.</w:t>
            </w:r>
            <w:r w:rsidRPr="001469BF">
              <w:rPr>
                <w:rFonts w:ascii="Arial" w:hAnsi="Arial" w:cs="Arial"/>
                <w:sz w:val="20"/>
                <w:szCs w:val="20"/>
              </w:rPr>
              <w:t xml:space="preserve"> przedmiotowy obszar znajduje się w zasięgu występowania obszarów szczególnego zagrożenia powodzią dla zalewu wodą Q1% oraz dla zalewu wodą Q10% od rzeki Wisły.</w:t>
            </w:r>
          </w:p>
        </w:tc>
      </w:tr>
      <w:tr w:rsidR="0035051B" w:rsidRPr="00FE0DBA" w14:paraId="42ECEF0B" w14:textId="77777777" w:rsidTr="00704201">
        <w:trPr>
          <w:trHeight w:val="703"/>
          <w:jc w:val="center"/>
        </w:trPr>
        <w:tc>
          <w:tcPr>
            <w:tcW w:w="764" w:type="pct"/>
            <w:vAlign w:val="center"/>
          </w:tcPr>
          <w:p w14:paraId="597ABA37" w14:textId="5ABFCF1C" w:rsidR="0035051B" w:rsidRPr="001469BF" w:rsidRDefault="00704201" w:rsidP="002F4629">
            <w:pPr>
              <w:pStyle w:val="Style4"/>
              <w:widowControl/>
              <w:spacing w:before="60" w:after="60" w:line="240" w:lineRule="auto"/>
              <w:rPr>
                <w:rStyle w:val="FontStyle13"/>
              </w:rPr>
            </w:pPr>
            <w:r w:rsidRPr="001469BF">
              <w:rPr>
                <w:rStyle w:val="FontStyle13"/>
              </w:rPr>
              <w:lastRenderedPageBreak/>
              <w:t>-</w:t>
            </w:r>
          </w:p>
        </w:tc>
        <w:tc>
          <w:tcPr>
            <w:tcW w:w="2613" w:type="pct"/>
            <w:vAlign w:val="center"/>
          </w:tcPr>
          <w:p w14:paraId="6ADBB9A5" w14:textId="77777777" w:rsidR="00704201" w:rsidRPr="001469BF" w:rsidRDefault="00704201" w:rsidP="002F4629">
            <w:pPr>
              <w:pStyle w:val="Standard"/>
              <w:spacing w:before="60" w:after="60" w:line="240" w:lineRule="auto"/>
              <w:rPr>
                <w:rFonts w:ascii="Arial" w:hAnsi="Arial" w:cs="Arial"/>
              </w:rPr>
            </w:pPr>
            <w:r w:rsidRPr="001469BF">
              <w:rPr>
                <w:rFonts w:ascii="Arial" w:hAnsi="Arial" w:cs="Arial"/>
              </w:rPr>
              <w:t xml:space="preserve">Obszary szczególnego zagrożenia powodzią zostały zdefiniowane w art. 16 ust. pkt. 34 ustawy Prawo wodne </w:t>
            </w:r>
            <w:r w:rsidRPr="001469BF">
              <w:rPr>
                <w:rFonts w:ascii="Arial" w:hAnsi="Arial" w:cs="Arial"/>
                <w:color w:val="212121"/>
                <w:shd w:val="clear" w:color="auto" w:fill="FFFFFF"/>
              </w:rPr>
              <w:t>(</w:t>
            </w:r>
            <w:r w:rsidRPr="001469BF">
              <w:rPr>
                <w:rFonts w:ascii="Arial" w:hAnsi="Arial" w:cs="Arial"/>
                <w:color w:val="000000"/>
                <w:shd w:val="clear" w:color="auto" w:fill="FFFFFF"/>
              </w:rPr>
              <w:t>Dz. U. z 2024 r. poz. 1087 t.j.)</w:t>
            </w:r>
            <w:r w:rsidRPr="001469BF">
              <w:rPr>
                <w:rFonts w:ascii="Arial" w:hAnsi="Arial" w:cs="Arial"/>
              </w:rPr>
              <w:t>. Zgodnie z tymi definicjami, za obszary szczególnego zagrożenia powodzią uważa się:</w:t>
            </w:r>
          </w:p>
          <w:p w14:paraId="0A6DCD21" w14:textId="77777777" w:rsidR="00704201" w:rsidRPr="001469BF" w:rsidRDefault="00704201" w:rsidP="002F4629">
            <w:pPr>
              <w:pStyle w:val="Standard"/>
              <w:numPr>
                <w:ilvl w:val="0"/>
                <w:numId w:val="61"/>
              </w:numPr>
              <w:spacing w:before="60" w:after="60" w:line="240" w:lineRule="auto"/>
              <w:rPr>
                <w:rFonts w:ascii="Arial" w:hAnsi="Arial" w:cs="Arial"/>
              </w:rPr>
            </w:pPr>
            <w:r w:rsidRPr="001469BF">
              <w:rPr>
                <w:rFonts w:ascii="Arial" w:hAnsi="Arial" w:cs="Arial"/>
              </w:rPr>
              <w:t>obszary, na których prawdopodobieństwo wystąpienia powodzi jest średnie i wynosi raz na 100 lat,</w:t>
            </w:r>
          </w:p>
          <w:p w14:paraId="31632AE7" w14:textId="77777777" w:rsidR="00704201" w:rsidRPr="001469BF" w:rsidRDefault="00704201" w:rsidP="002F4629">
            <w:pPr>
              <w:pStyle w:val="Standard"/>
              <w:numPr>
                <w:ilvl w:val="0"/>
                <w:numId w:val="61"/>
              </w:numPr>
              <w:spacing w:before="60" w:after="60" w:line="240" w:lineRule="auto"/>
              <w:rPr>
                <w:rFonts w:ascii="Arial" w:hAnsi="Arial" w:cs="Arial"/>
              </w:rPr>
            </w:pPr>
            <w:r w:rsidRPr="001469BF">
              <w:rPr>
                <w:rFonts w:ascii="Arial" w:hAnsi="Arial" w:cs="Arial"/>
              </w:rPr>
              <w:t>obszary, na których prawdopodobieństwo wystąpienia powodzi jest wysokie i wynosi raz na 10 lat,</w:t>
            </w:r>
          </w:p>
          <w:p w14:paraId="4471B76F" w14:textId="77777777" w:rsidR="00704201" w:rsidRPr="001469BF" w:rsidRDefault="00704201" w:rsidP="002F4629">
            <w:pPr>
              <w:pStyle w:val="Standard"/>
              <w:numPr>
                <w:ilvl w:val="0"/>
                <w:numId w:val="61"/>
              </w:numPr>
              <w:spacing w:before="60" w:after="60" w:line="240" w:lineRule="auto"/>
              <w:rPr>
                <w:rFonts w:ascii="Arial" w:hAnsi="Arial" w:cs="Arial"/>
              </w:rPr>
            </w:pPr>
            <w:r w:rsidRPr="001469BF">
              <w:rPr>
                <w:rFonts w:ascii="Arial" w:hAnsi="Arial" w:cs="Arial"/>
              </w:rPr>
              <w:t>obszary między linią brzegu a wałem przeciwpowodziowym lub naturalnym wysokim brzegiem, w który wbudowano wał przeciwpowodziowy, a także wyspy i przymuliska, o których mowa w art. 224, stanowiące działki ewidencyjne,</w:t>
            </w:r>
          </w:p>
          <w:p w14:paraId="116628D0" w14:textId="77777777" w:rsidR="0035051B" w:rsidRPr="001469BF" w:rsidRDefault="00704201" w:rsidP="002F4629">
            <w:pPr>
              <w:spacing w:before="60" w:after="60" w:line="240" w:lineRule="auto"/>
              <w:jc w:val="center"/>
              <w:rPr>
                <w:rFonts w:ascii="Arial" w:hAnsi="Arial" w:cs="Arial"/>
                <w:sz w:val="20"/>
                <w:szCs w:val="20"/>
              </w:rPr>
            </w:pPr>
            <w:r w:rsidRPr="001469BF">
              <w:rPr>
                <w:rFonts w:ascii="Arial" w:hAnsi="Arial" w:cs="Arial"/>
                <w:sz w:val="20"/>
                <w:szCs w:val="20"/>
              </w:rPr>
              <w:t>pas techniczny</w:t>
            </w:r>
          </w:p>
          <w:p w14:paraId="17385ECD" w14:textId="77777777" w:rsidR="00704201" w:rsidRPr="001469BF" w:rsidRDefault="00704201" w:rsidP="002F4629">
            <w:pPr>
              <w:pStyle w:val="Standard"/>
              <w:spacing w:before="60" w:after="60" w:line="240" w:lineRule="auto"/>
              <w:rPr>
                <w:rFonts w:ascii="Arial" w:hAnsi="Arial" w:cs="Arial"/>
              </w:rPr>
            </w:pPr>
            <w:r w:rsidRPr="001469BF">
              <w:rPr>
                <w:rFonts w:ascii="Arial" w:hAnsi="Arial" w:cs="Arial"/>
              </w:rPr>
              <w:t>Analizując Projekt S</w:t>
            </w:r>
            <w:r w:rsidRPr="001469BF">
              <w:rPr>
                <w:rFonts w:ascii="Arial" w:hAnsi="Arial" w:cs="Arial"/>
                <w:i/>
                <w:iCs/>
              </w:rPr>
              <w:t xml:space="preserve">trategii Rozwoju Gminy Słubice na lata 2026-2035 </w:t>
            </w:r>
            <w:r w:rsidRPr="001469BF">
              <w:rPr>
                <w:rFonts w:ascii="Arial" w:hAnsi="Arial" w:cs="Arial"/>
              </w:rPr>
              <w:t>stwierdzono, że w treści zostały uwzględnione zapisy dotyczące występowania obszarów szczególnego zagrożenia powodzią.</w:t>
            </w:r>
          </w:p>
          <w:p w14:paraId="68998A87" w14:textId="77777777" w:rsidR="00704201" w:rsidRPr="001469BF" w:rsidRDefault="00704201" w:rsidP="002F4629">
            <w:pPr>
              <w:spacing w:before="60" w:after="60" w:line="240" w:lineRule="auto"/>
              <w:rPr>
                <w:rFonts w:ascii="Arial" w:hAnsi="Arial" w:cs="Arial"/>
                <w:sz w:val="20"/>
                <w:szCs w:val="20"/>
                <w:u w:val="single"/>
              </w:rPr>
            </w:pPr>
            <w:r w:rsidRPr="001469BF">
              <w:rPr>
                <w:rFonts w:ascii="Arial" w:hAnsi="Arial" w:cs="Arial"/>
                <w:sz w:val="20"/>
                <w:szCs w:val="20"/>
              </w:rPr>
              <w:t>Organ dodatkowo informuje, że tereny znajdujące się w ramach obszarów szczególnego zagrożenia powodzią podlegają określonemu zagospodarowaniu, gdzie zgodnie z art. 166 pkt. 10 ustawy Prawo wodne planowane zagospodarowanie nie może m.in. naruszać ustaleń planu zarządzania ryzykiem powodziowym czy stanowić zagrożenia dla ochrony zdrowia ludzi czy środowiska oraz utrudniać zarządzanie ryzykiem powodziowym.</w:t>
            </w:r>
            <w:r w:rsidRPr="001469BF">
              <w:rPr>
                <w:rFonts w:ascii="Arial" w:hAnsi="Arial" w:cs="Arial"/>
                <w:color w:val="FF0000"/>
                <w:sz w:val="20"/>
                <w:szCs w:val="20"/>
              </w:rPr>
              <w:t xml:space="preserve"> </w:t>
            </w:r>
            <w:r w:rsidRPr="001469BF">
              <w:rPr>
                <w:rFonts w:ascii="Arial" w:hAnsi="Arial" w:cs="Arial"/>
                <w:sz w:val="20"/>
                <w:szCs w:val="20"/>
              </w:rPr>
              <w:t xml:space="preserve">Ponadto w Rozporządzeniu Ministra Infrastruktury z dnia 18 października 2022 r. w sprawie przyjęcia Planu zarządzania ryzykiem powodziowym dla obszaru dorzecza Wisły (Dz. U. 2022. poz. 2739), zostały zidentyfikowane główne cele zarządzania ryzykiem powodziowym, w tym cel główny obejmujący </w:t>
            </w:r>
            <w:r w:rsidRPr="001469BF">
              <w:rPr>
                <w:rFonts w:ascii="Arial" w:hAnsi="Arial" w:cs="Arial"/>
                <w:sz w:val="20"/>
                <w:szCs w:val="20"/>
                <w:u w:val="single"/>
              </w:rPr>
              <w:t xml:space="preserve">zapewnienie racjonalnego gospodarowania obszarami zagrożenia powodziowego. </w:t>
            </w:r>
          </w:p>
          <w:p w14:paraId="5446B5F5" w14:textId="656455C0" w:rsidR="00704201" w:rsidRPr="001469BF" w:rsidRDefault="00704201" w:rsidP="002F4629">
            <w:pPr>
              <w:spacing w:before="60" w:after="60" w:line="240" w:lineRule="auto"/>
              <w:rPr>
                <w:rStyle w:val="FontStyle13"/>
              </w:rPr>
            </w:pPr>
            <w:r w:rsidRPr="001469BF">
              <w:rPr>
                <w:rFonts w:ascii="Arial" w:hAnsi="Arial" w:cs="Arial"/>
                <w:sz w:val="20"/>
                <w:szCs w:val="20"/>
              </w:rPr>
              <w:t>W przypadku lokalizowania na obszarach szczególnego zagrożenia powodzią m.in. nowych obiektów budowlanych oraz gromadzenia ścieków, niezbędne jest uzyskanie pozwolenia wodnoprawnego zgodnie z art. 390 ust. 1 ustawy Prawo wodne</w:t>
            </w:r>
          </w:p>
        </w:tc>
        <w:tc>
          <w:tcPr>
            <w:tcW w:w="1623" w:type="pct"/>
            <w:vAlign w:val="center"/>
          </w:tcPr>
          <w:p w14:paraId="199B5645" w14:textId="14E53C67" w:rsidR="00B74E90" w:rsidRPr="001469BF" w:rsidRDefault="00B74E90" w:rsidP="002F4629">
            <w:pPr>
              <w:spacing w:before="60" w:after="60" w:line="240" w:lineRule="auto"/>
              <w:rPr>
                <w:rFonts w:ascii="Arial" w:hAnsi="Arial" w:cs="Arial"/>
                <w:sz w:val="20"/>
                <w:szCs w:val="20"/>
              </w:rPr>
            </w:pPr>
            <w:r w:rsidRPr="001469BF">
              <w:rPr>
                <w:rStyle w:val="FontStyle13"/>
              </w:rPr>
              <w:t>Dodano do rozdziału 4.1.informację o</w:t>
            </w:r>
            <w:r w:rsidRPr="001469BF">
              <w:rPr>
                <w:rFonts w:ascii="Arial" w:hAnsi="Arial" w:cs="Arial"/>
                <w:sz w:val="20"/>
                <w:szCs w:val="20"/>
              </w:rPr>
              <w:t>:</w:t>
            </w:r>
            <w:bookmarkStart w:id="2" w:name="_Hlk212542425"/>
          </w:p>
          <w:p w14:paraId="2DE76D77" w14:textId="77777777" w:rsidR="00B74E90" w:rsidRPr="001469BF" w:rsidRDefault="00B74E90" w:rsidP="002F4629">
            <w:pPr>
              <w:pStyle w:val="Akapitzlist"/>
              <w:numPr>
                <w:ilvl w:val="0"/>
                <w:numId w:val="62"/>
              </w:numPr>
              <w:spacing w:before="60" w:after="60" w:line="240" w:lineRule="auto"/>
              <w:rPr>
                <w:rFonts w:ascii="Arial" w:hAnsi="Arial" w:cs="Arial"/>
                <w:sz w:val="20"/>
                <w:szCs w:val="20"/>
              </w:rPr>
            </w:pPr>
            <w:r w:rsidRPr="001469BF">
              <w:rPr>
                <w:rFonts w:ascii="Arial" w:hAnsi="Arial" w:cs="Arial"/>
                <w:sz w:val="20"/>
                <w:szCs w:val="20"/>
              </w:rPr>
              <w:t>tym, że tereny znajdujące się w ramach obszarów szczególnego zagrożenia powodzią podlegają określonemu zagospodarowaniu, gdzie zgodnie z art. 166 pkt. 10 ustawy Prawo wodne planowane zagospodarowanie nie może m.in. naruszać ustaleń planu zarządzania ryzykiem powodziowym czy stanowić zagrożenia dla ochrony zdrowia ludzi czy środowiska oraz utrudniać zarządzanie ryzykiem powodziowym</w:t>
            </w:r>
            <w:bookmarkEnd w:id="2"/>
            <w:r w:rsidRPr="001469BF">
              <w:rPr>
                <w:rFonts w:ascii="Arial" w:hAnsi="Arial" w:cs="Arial"/>
                <w:sz w:val="20"/>
                <w:szCs w:val="20"/>
              </w:rPr>
              <w:t>,</w:t>
            </w:r>
          </w:p>
          <w:p w14:paraId="16A6BC77" w14:textId="77777777" w:rsidR="00B74E90" w:rsidRPr="001469BF" w:rsidRDefault="00B74E90" w:rsidP="002F4629">
            <w:pPr>
              <w:pStyle w:val="Akapitzlist"/>
              <w:numPr>
                <w:ilvl w:val="0"/>
                <w:numId w:val="62"/>
              </w:numPr>
              <w:spacing w:before="60" w:after="60" w:line="240" w:lineRule="auto"/>
              <w:rPr>
                <w:rFonts w:ascii="Arial" w:hAnsi="Arial" w:cs="Arial"/>
                <w:sz w:val="20"/>
                <w:szCs w:val="20"/>
              </w:rPr>
            </w:pPr>
            <w:r w:rsidRPr="001469BF">
              <w:rPr>
                <w:rFonts w:ascii="Arial" w:hAnsi="Arial" w:cs="Arial"/>
                <w:sz w:val="20"/>
                <w:szCs w:val="20"/>
              </w:rPr>
              <w:t xml:space="preserve">o </w:t>
            </w:r>
            <w:bookmarkStart w:id="3" w:name="_Hlk212542507"/>
            <w:r w:rsidRPr="001469BF">
              <w:rPr>
                <w:rFonts w:ascii="Arial" w:hAnsi="Arial" w:cs="Arial"/>
                <w:sz w:val="20"/>
                <w:szCs w:val="20"/>
              </w:rPr>
              <w:t>zapewnieniu racjonalnego gospodarowania obszarami zagrożenia powodziowego</w:t>
            </w:r>
            <w:bookmarkEnd w:id="3"/>
            <w:r w:rsidRPr="001469BF">
              <w:rPr>
                <w:rFonts w:ascii="Arial" w:hAnsi="Arial" w:cs="Arial"/>
                <w:sz w:val="20"/>
                <w:szCs w:val="20"/>
              </w:rPr>
              <w:t>,</w:t>
            </w:r>
          </w:p>
          <w:p w14:paraId="37BF5A03" w14:textId="6648A9EF" w:rsidR="0035051B" w:rsidRPr="001469BF" w:rsidRDefault="00B74E90" w:rsidP="002F4629">
            <w:pPr>
              <w:pStyle w:val="Akapitzlist"/>
              <w:numPr>
                <w:ilvl w:val="0"/>
                <w:numId w:val="62"/>
              </w:numPr>
              <w:spacing w:before="60" w:after="60" w:line="240" w:lineRule="auto"/>
              <w:rPr>
                <w:rStyle w:val="FontStyle13"/>
                <w:color w:val="auto"/>
              </w:rPr>
            </w:pPr>
            <w:r w:rsidRPr="001469BF">
              <w:rPr>
                <w:rFonts w:ascii="Arial" w:hAnsi="Arial" w:cs="Arial"/>
                <w:sz w:val="20"/>
                <w:szCs w:val="20"/>
              </w:rPr>
              <w:t xml:space="preserve">tym, że w </w:t>
            </w:r>
            <w:bookmarkStart w:id="4" w:name="_Hlk212542551"/>
            <w:r w:rsidRPr="001469BF">
              <w:rPr>
                <w:rFonts w:ascii="Arial" w:hAnsi="Arial" w:cs="Arial"/>
                <w:sz w:val="20"/>
                <w:szCs w:val="20"/>
              </w:rPr>
              <w:t>przypadku lokalizowania na obszarach szczególnego zagrożenia powodzią m.in. nowych obiektów budowlanych oraz gromadzenia ścieków, niezbędne jest uzyskanie pozwolenia wodnoprawnego zgodnie z art. 390 ust. 1 ustawy Prawo wodne</w:t>
            </w:r>
            <w:bookmarkEnd w:id="4"/>
            <w:r w:rsidRPr="001469BF">
              <w:rPr>
                <w:rFonts w:ascii="Arial" w:hAnsi="Arial" w:cs="Arial"/>
                <w:sz w:val="20"/>
                <w:szCs w:val="20"/>
              </w:rPr>
              <w:t>.</w:t>
            </w:r>
          </w:p>
        </w:tc>
      </w:tr>
      <w:tr w:rsidR="0035051B" w:rsidRPr="00FE0DBA" w14:paraId="50F8FAB7" w14:textId="77777777" w:rsidTr="00704201">
        <w:trPr>
          <w:trHeight w:val="703"/>
          <w:jc w:val="center"/>
        </w:trPr>
        <w:tc>
          <w:tcPr>
            <w:tcW w:w="764" w:type="pct"/>
            <w:vAlign w:val="center"/>
          </w:tcPr>
          <w:p w14:paraId="63E73573" w14:textId="12BF94E5" w:rsidR="0035051B" w:rsidRPr="001469BF" w:rsidRDefault="00704201" w:rsidP="002F4629">
            <w:pPr>
              <w:pStyle w:val="Style4"/>
              <w:widowControl/>
              <w:spacing w:before="60" w:after="60" w:line="240" w:lineRule="auto"/>
              <w:rPr>
                <w:rStyle w:val="FontStyle13"/>
              </w:rPr>
            </w:pPr>
            <w:r w:rsidRPr="001469BF">
              <w:rPr>
                <w:rStyle w:val="FontStyle13"/>
              </w:rPr>
              <w:lastRenderedPageBreak/>
              <w:t>-</w:t>
            </w:r>
          </w:p>
        </w:tc>
        <w:tc>
          <w:tcPr>
            <w:tcW w:w="2613" w:type="pct"/>
            <w:vAlign w:val="center"/>
          </w:tcPr>
          <w:p w14:paraId="5225758C" w14:textId="77777777" w:rsidR="00704201" w:rsidRPr="001469BF" w:rsidRDefault="00704201" w:rsidP="002F4629">
            <w:pPr>
              <w:spacing w:before="60" w:after="60" w:line="240" w:lineRule="auto"/>
              <w:jc w:val="both"/>
              <w:rPr>
                <w:rFonts w:ascii="Arial" w:hAnsi="Arial" w:cs="Arial"/>
                <w:sz w:val="20"/>
                <w:szCs w:val="20"/>
              </w:rPr>
            </w:pPr>
            <w:r w:rsidRPr="001469BF">
              <w:rPr>
                <w:rFonts w:ascii="Arial" w:hAnsi="Arial" w:cs="Arial"/>
                <w:sz w:val="20"/>
                <w:szCs w:val="20"/>
              </w:rPr>
              <w:t xml:space="preserve">W projekcie strategii proponujemy wskazać, że </w:t>
            </w:r>
            <w:bookmarkStart w:id="5" w:name="_Hlk212542694"/>
            <w:r w:rsidRPr="001469BF">
              <w:rPr>
                <w:rFonts w:ascii="Arial" w:hAnsi="Arial" w:cs="Arial"/>
                <w:sz w:val="20"/>
                <w:szCs w:val="20"/>
              </w:rPr>
              <w:t>Gmina Słubice znajduje się na obszarze Głównego Zbiornika Wód Podziemnych (GZWP) nr 215 Subniecka warszawska, 2151 Subniecka warszawska (część centralna) oraz 220 Pradolina rzeki Środkowa Wisła (Włocławek - Płock).</w:t>
            </w:r>
          </w:p>
          <w:bookmarkEnd w:id="5"/>
          <w:p w14:paraId="37FA605C" w14:textId="77777777" w:rsidR="0035051B" w:rsidRPr="001469BF" w:rsidRDefault="0035051B" w:rsidP="002F4629">
            <w:pPr>
              <w:spacing w:before="60" w:after="60" w:line="240" w:lineRule="auto"/>
              <w:jc w:val="center"/>
              <w:rPr>
                <w:rStyle w:val="FontStyle13"/>
              </w:rPr>
            </w:pPr>
          </w:p>
        </w:tc>
        <w:tc>
          <w:tcPr>
            <w:tcW w:w="1623" w:type="pct"/>
            <w:vAlign w:val="center"/>
          </w:tcPr>
          <w:p w14:paraId="1B4F6C43" w14:textId="6A213EE4" w:rsidR="0035051B" w:rsidRPr="001469BF" w:rsidRDefault="002F4629" w:rsidP="002F4629">
            <w:pPr>
              <w:spacing w:before="60" w:after="60" w:line="240" w:lineRule="auto"/>
              <w:jc w:val="center"/>
              <w:rPr>
                <w:rStyle w:val="FontStyle13"/>
              </w:rPr>
            </w:pPr>
            <w:r w:rsidRPr="001469BF">
              <w:rPr>
                <w:rStyle w:val="FontStyle13"/>
              </w:rPr>
              <w:t>Dodano informację w rozdziale 3.2.</w:t>
            </w:r>
          </w:p>
        </w:tc>
      </w:tr>
      <w:tr w:rsidR="00704201" w:rsidRPr="00FE0DBA" w14:paraId="65C1AD62" w14:textId="77777777" w:rsidTr="00704201">
        <w:trPr>
          <w:trHeight w:val="703"/>
          <w:jc w:val="center"/>
        </w:trPr>
        <w:tc>
          <w:tcPr>
            <w:tcW w:w="764" w:type="pct"/>
            <w:vAlign w:val="center"/>
          </w:tcPr>
          <w:p w14:paraId="4FD724EF" w14:textId="3FE6C27A" w:rsidR="00704201" w:rsidRPr="001469BF" w:rsidRDefault="00704201" w:rsidP="002F4629">
            <w:pPr>
              <w:pStyle w:val="Style4"/>
              <w:widowControl/>
              <w:spacing w:before="60" w:after="60" w:line="240" w:lineRule="auto"/>
              <w:rPr>
                <w:rStyle w:val="FontStyle13"/>
              </w:rPr>
            </w:pPr>
            <w:r w:rsidRPr="001469BF">
              <w:rPr>
                <w:rStyle w:val="FontStyle13"/>
              </w:rPr>
              <w:t>-</w:t>
            </w:r>
          </w:p>
        </w:tc>
        <w:tc>
          <w:tcPr>
            <w:tcW w:w="2613" w:type="pct"/>
            <w:vAlign w:val="center"/>
          </w:tcPr>
          <w:p w14:paraId="0BB0C4D0" w14:textId="799CE590" w:rsidR="00704201" w:rsidRPr="001469BF" w:rsidRDefault="00704201" w:rsidP="002F4629">
            <w:pPr>
              <w:spacing w:before="60" w:after="60" w:line="240" w:lineRule="auto"/>
              <w:jc w:val="both"/>
              <w:rPr>
                <w:rStyle w:val="FontStyle13"/>
                <w:color w:val="auto"/>
              </w:rPr>
            </w:pPr>
            <w:r w:rsidRPr="001469BF">
              <w:rPr>
                <w:rFonts w:ascii="Arial" w:hAnsi="Arial" w:cs="Arial"/>
                <w:sz w:val="20"/>
                <w:szCs w:val="20"/>
              </w:rPr>
              <w:t>Informujemy, że informacje dotyczące jednolitych części wód powierzchniowych i podziemnych należy przedstawić zgodnie z obowiązującym rozporządzeniem Ministra Infrastruktury z dnia 4 listopada 2022 r. w sprawie Planu gospodarowania wodami na obszarze dorzecza Wisły (Dz. U. z 2023 r. poz. 300). Karty charakterystyk jednolitych części wód oraz mapa jednolitych części wód dostępne są pod linkiem: http://karty.apgw.gov.pl:4200/informacje oraz na Hydroportalu: https://isok.gov.pl/hydroportal.html w sekcji Plany gospodarowania wodami.</w:t>
            </w:r>
          </w:p>
        </w:tc>
        <w:tc>
          <w:tcPr>
            <w:tcW w:w="1623" w:type="pct"/>
            <w:vAlign w:val="center"/>
          </w:tcPr>
          <w:p w14:paraId="177B06D4" w14:textId="1B1EDDCC" w:rsidR="00704201" w:rsidRPr="001469BF" w:rsidRDefault="002F4629" w:rsidP="002F4629">
            <w:pPr>
              <w:spacing w:before="60" w:after="60" w:line="240" w:lineRule="auto"/>
              <w:jc w:val="center"/>
              <w:rPr>
                <w:rStyle w:val="FontStyle13"/>
              </w:rPr>
            </w:pPr>
            <w:r w:rsidRPr="001469BF">
              <w:rPr>
                <w:rStyle w:val="FontStyle13"/>
              </w:rPr>
              <w:t xml:space="preserve">Informacje dotyczące jednolitych części wód powierzchniowych i podziemnych przedstawione są zgodnie z obowiązującymi </w:t>
            </w:r>
            <w:r w:rsidRPr="001469BF">
              <w:rPr>
                <w:rFonts w:ascii="Arial" w:hAnsi="Arial" w:cs="Arial"/>
                <w:sz w:val="20"/>
                <w:szCs w:val="20"/>
              </w:rPr>
              <w:t>rozporządzeniem Ministra Infrastruktury z dnia 4 listopada 2022 r. w sprawie Planu gospodarowania wodami na obszarze dorzecza Wisły (Dz. U. z 2023 r. poz. 300).</w:t>
            </w:r>
          </w:p>
        </w:tc>
      </w:tr>
    </w:tbl>
    <w:p w14:paraId="200AE873" w14:textId="6E322035" w:rsidR="002E68A5" w:rsidRDefault="002E68A5" w:rsidP="00223738">
      <w:pPr>
        <w:pStyle w:val="Bezodstpw"/>
        <w:ind w:right="0"/>
      </w:pPr>
    </w:p>
    <w:p w14:paraId="3927CE41" w14:textId="77777777" w:rsidR="0031222E" w:rsidRDefault="0031222E" w:rsidP="00223738">
      <w:pPr>
        <w:pStyle w:val="Bezodstpw"/>
        <w:ind w:right="0"/>
        <w:rPr>
          <w:color w:val="000000" w:themeColor="text1"/>
        </w:rPr>
        <w:sectPr w:rsidR="0031222E" w:rsidSect="0035051B">
          <w:pgSz w:w="16838" w:h="11906" w:orient="landscape"/>
          <w:pgMar w:top="1418" w:right="1418" w:bottom="1418" w:left="1559" w:header="709" w:footer="709" w:gutter="0"/>
          <w:cols w:space="708"/>
          <w:docGrid w:linePitch="360"/>
        </w:sectPr>
      </w:pPr>
    </w:p>
    <w:p w14:paraId="140A937B" w14:textId="02A268B8" w:rsidR="003548E4" w:rsidRPr="00AC14DE" w:rsidRDefault="00AC14DE" w:rsidP="00223738">
      <w:pPr>
        <w:pStyle w:val="Bezodstpw"/>
        <w:ind w:right="0"/>
        <w:rPr>
          <w:color w:val="000000" w:themeColor="text1"/>
        </w:rPr>
      </w:pPr>
      <w:r w:rsidRPr="00AC14DE">
        <w:rPr>
          <w:color w:val="000000" w:themeColor="text1"/>
        </w:rPr>
        <w:lastRenderedPageBreak/>
        <w:t>Ponadto</w:t>
      </w:r>
      <w:r w:rsidR="00446FFB">
        <w:rPr>
          <w:color w:val="000000" w:themeColor="text1"/>
        </w:rPr>
        <w:t>,</w:t>
      </w:r>
      <w:r w:rsidRPr="00AC14DE">
        <w:rPr>
          <w:color w:val="000000" w:themeColor="text1"/>
        </w:rPr>
        <w:t xml:space="preserve"> w wyniku uwag od Zarządu Województwa Mazowieckiego z dnia 10.10.2025 r. dotyczących opiniowania Strategii Rozwoju Gminy Słubice na lata 2026-2035 wprowadzono następujące zmiany do dokumentu:</w:t>
      </w:r>
    </w:p>
    <w:p w14:paraId="7198D6D2" w14:textId="04616658" w:rsidR="00AC14DE" w:rsidRDefault="007846EC" w:rsidP="00AC14DE">
      <w:pPr>
        <w:pStyle w:val="Bezodstpw"/>
        <w:numPr>
          <w:ilvl w:val="6"/>
          <w:numId w:val="58"/>
        </w:numPr>
        <w:ind w:left="357" w:right="0" w:hanging="357"/>
        <w:rPr>
          <w:color w:val="000000" w:themeColor="text1"/>
        </w:rPr>
      </w:pPr>
      <w:r w:rsidRPr="007846EC">
        <w:rPr>
          <w:color w:val="000000" w:themeColor="text1"/>
        </w:rPr>
        <w:t>Dodano w rozdział</w:t>
      </w:r>
      <w:r w:rsidR="00446FFB">
        <w:rPr>
          <w:color w:val="000000" w:themeColor="text1"/>
        </w:rPr>
        <w:t>e</w:t>
      </w:r>
      <w:r w:rsidRPr="007846EC">
        <w:rPr>
          <w:color w:val="000000" w:themeColor="text1"/>
        </w:rPr>
        <w:t xml:space="preserve"> 4.5. inwestycję celu publicznego o znaczeniu ponadlokalnym, tj. droga wojewódzka nr 575 Płock – Kazuń Nowy – zwiększenie bezpieczeństwa ruchu drogowego.</w:t>
      </w:r>
    </w:p>
    <w:p w14:paraId="5D6C0033" w14:textId="65CAA794" w:rsidR="007846EC" w:rsidRDefault="001D2D19" w:rsidP="00AC14DE">
      <w:pPr>
        <w:pStyle w:val="Bezodstpw"/>
        <w:numPr>
          <w:ilvl w:val="6"/>
          <w:numId w:val="58"/>
        </w:numPr>
        <w:ind w:left="357" w:right="0" w:hanging="357"/>
        <w:rPr>
          <w:color w:val="000000" w:themeColor="text1"/>
        </w:rPr>
      </w:pPr>
      <w:r>
        <w:rPr>
          <w:color w:val="000000" w:themeColor="text1"/>
        </w:rPr>
        <w:t xml:space="preserve">Dodano w rozdziale 3.4. informację </w:t>
      </w:r>
      <w:r w:rsidR="00E84DE1">
        <w:rPr>
          <w:color w:val="000000" w:themeColor="text1"/>
        </w:rPr>
        <w:t xml:space="preserve">w tekście </w:t>
      </w:r>
      <w:r>
        <w:rPr>
          <w:color w:val="000000" w:themeColor="text1"/>
        </w:rPr>
        <w:t xml:space="preserve">o występującym na terenie gminy elemencie systemu paliw płynnych, tj. </w:t>
      </w:r>
      <w:r w:rsidR="00C93913">
        <w:rPr>
          <w:color w:val="000000" w:themeColor="text1"/>
        </w:rPr>
        <w:t>rurociągu paliwowym DN 400 Płock- Koluszki.</w:t>
      </w:r>
    </w:p>
    <w:p w14:paraId="2D5B2B37" w14:textId="16DF6C61" w:rsidR="00A24E7C" w:rsidRDefault="00A24E7C" w:rsidP="00AC14DE">
      <w:pPr>
        <w:pStyle w:val="Bezodstpw"/>
        <w:numPr>
          <w:ilvl w:val="6"/>
          <w:numId w:val="58"/>
        </w:numPr>
        <w:ind w:left="357" w:right="0" w:hanging="357"/>
        <w:rPr>
          <w:color w:val="000000" w:themeColor="text1"/>
        </w:rPr>
      </w:pPr>
      <w:r>
        <w:rPr>
          <w:color w:val="000000" w:themeColor="text1"/>
        </w:rPr>
        <w:t>Dodano informację na stronie 8 przy przywoływaniu kierunków działań ze Strategii Rozwoju Województwa Mazowieckiego  w zakresie realizacji działania z obszaru Środowiska i energetyka, tj. Podnoszenie efektywności energetycznej oraz poprawiono literówkę w kierunku Włączenie i integracja społeczna.</w:t>
      </w:r>
    </w:p>
    <w:p w14:paraId="4FBB652A" w14:textId="28388D94" w:rsidR="0031222E" w:rsidRPr="007846EC" w:rsidRDefault="0031222E" w:rsidP="00AC14DE">
      <w:pPr>
        <w:pStyle w:val="Bezodstpw"/>
        <w:numPr>
          <w:ilvl w:val="6"/>
          <w:numId w:val="58"/>
        </w:numPr>
        <w:ind w:left="357" w:right="0" w:hanging="357"/>
        <w:rPr>
          <w:color w:val="000000" w:themeColor="text1"/>
        </w:rPr>
      </w:pPr>
      <w:r>
        <w:rPr>
          <w:color w:val="000000" w:themeColor="text1"/>
        </w:rPr>
        <w:t>Dodano informację</w:t>
      </w:r>
      <w:r w:rsidR="00095EB1">
        <w:rPr>
          <w:color w:val="000000" w:themeColor="text1"/>
        </w:rPr>
        <w:t xml:space="preserve"> na końcu rozdziału 5</w:t>
      </w:r>
      <w:r>
        <w:rPr>
          <w:color w:val="000000" w:themeColor="text1"/>
        </w:rPr>
        <w:t>, że obszar gminy Słubice należy do płockiego obszaru predysponowanego do pełnienia funkcji żywicielskich o strategicznym znaczeniu w</w:t>
      </w:r>
      <w:r w:rsidR="00C821DC">
        <w:rPr>
          <w:color w:val="000000" w:themeColor="text1"/>
        </w:rPr>
        <w:t> </w:t>
      </w:r>
      <w:r>
        <w:rPr>
          <w:color w:val="000000" w:themeColor="text1"/>
        </w:rPr>
        <w:t>województwie.</w:t>
      </w:r>
    </w:p>
    <w:sectPr w:rsidR="0031222E" w:rsidRPr="007846EC" w:rsidSect="0031222E">
      <w:pgSz w:w="11906" w:h="16838"/>
      <w:pgMar w:top="1418"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18F1" w14:textId="77777777" w:rsidR="00B0719A" w:rsidRDefault="00B0719A" w:rsidP="00223738">
      <w:pPr>
        <w:spacing w:after="0" w:line="240" w:lineRule="auto"/>
      </w:pPr>
      <w:r>
        <w:separator/>
      </w:r>
    </w:p>
  </w:endnote>
  <w:endnote w:type="continuationSeparator" w:id="0">
    <w:p w14:paraId="75F2AD9D" w14:textId="77777777" w:rsidR="00B0719A" w:rsidRDefault="00B0719A" w:rsidP="0022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518D" w14:textId="77777777" w:rsidR="0035051B" w:rsidRPr="00C03980" w:rsidRDefault="0035051B">
    <w:pPr>
      <w:pStyle w:val="Stopka"/>
      <w:jc w:val="right"/>
      <w:rPr>
        <w:rFonts w:ascii="Arial" w:hAnsi="Arial" w:cs="Arial"/>
        <w:sz w:val="20"/>
      </w:rPr>
    </w:pPr>
    <w:r w:rsidRPr="00C03980">
      <w:rPr>
        <w:rFonts w:ascii="Arial" w:hAnsi="Arial" w:cs="Arial"/>
        <w:sz w:val="20"/>
      </w:rPr>
      <w:fldChar w:fldCharType="begin"/>
    </w:r>
    <w:r w:rsidRPr="00C03980">
      <w:rPr>
        <w:rFonts w:ascii="Arial" w:hAnsi="Arial" w:cs="Arial"/>
        <w:sz w:val="20"/>
      </w:rPr>
      <w:instrText>PAGE   \* MERGEFORMAT</w:instrText>
    </w:r>
    <w:r w:rsidRPr="00C03980">
      <w:rPr>
        <w:rFonts w:ascii="Arial" w:hAnsi="Arial" w:cs="Arial"/>
        <w:sz w:val="20"/>
      </w:rPr>
      <w:fldChar w:fldCharType="separate"/>
    </w:r>
    <w:r w:rsidRPr="00C03980">
      <w:rPr>
        <w:rFonts w:ascii="Arial" w:hAnsi="Arial" w:cs="Arial"/>
        <w:noProof/>
        <w:sz w:val="20"/>
      </w:rPr>
      <w:t>21</w:t>
    </w:r>
    <w:r w:rsidRPr="00C03980">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D60A" w14:textId="77777777" w:rsidR="0035051B" w:rsidRPr="00EA305C" w:rsidRDefault="0035051B" w:rsidP="00244FFF">
    <w:pPr>
      <w:pStyle w:val="Stopka"/>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A5B5" w14:textId="77777777" w:rsidR="00B0719A" w:rsidRDefault="00B0719A" w:rsidP="00223738">
      <w:pPr>
        <w:spacing w:after="0" w:line="240" w:lineRule="auto"/>
      </w:pPr>
      <w:r>
        <w:separator/>
      </w:r>
    </w:p>
  </w:footnote>
  <w:footnote w:type="continuationSeparator" w:id="0">
    <w:p w14:paraId="0883E249" w14:textId="77777777" w:rsidR="00B0719A" w:rsidRDefault="00B0719A" w:rsidP="00223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9BC"/>
    <w:multiLevelType w:val="hybridMultilevel"/>
    <w:tmpl w:val="3FECA814"/>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1E1714"/>
    <w:multiLevelType w:val="hybridMultilevel"/>
    <w:tmpl w:val="FAE0ED94"/>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C6B67"/>
    <w:multiLevelType w:val="multilevel"/>
    <w:tmpl w:val="5D2A90C6"/>
    <w:lvl w:ilvl="0">
      <w:start w:val="1"/>
      <w:numFmt w:val="bullet"/>
      <w:lvlText w:val=""/>
      <w:lvlJc w:val="left"/>
      <w:pPr>
        <w:ind w:left="360" w:hanging="360"/>
      </w:pPr>
      <w:rPr>
        <w:rFonts w:ascii="Symbol" w:hAnsi="Symbol" w:hint="default"/>
        <w:b/>
        <w:sz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8345D56"/>
    <w:multiLevelType w:val="hybridMultilevel"/>
    <w:tmpl w:val="E1F4D758"/>
    <w:lvl w:ilvl="0" w:tplc="6C265C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742163"/>
    <w:multiLevelType w:val="multilevel"/>
    <w:tmpl w:val="BD4CB58A"/>
    <w:lvl w:ilvl="0">
      <w:start w:val="1"/>
      <w:numFmt w:val="lowerLetter"/>
      <w:lvlText w:val="%1)"/>
      <w:lvlJc w:val="left"/>
      <w:pPr>
        <w:ind w:left="1069" w:hanging="360"/>
      </w:pPr>
    </w:lvl>
    <w:lvl w:ilvl="1">
      <w:start w:val="1"/>
      <w:numFmt w:val="bullet"/>
      <w:lvlText w:val="–"/>
      <w:lvlJc w:val="left"/>
      <w:pPr>
        <w:ind w:left="1429" w:hanging="360"/>
      </w:pPr>
      <w:rPr>
        <w:rFonts w:ascii="Vrinda" w:hAnsi="Vrinda" w:hint="default"/>
      </w:rPr>
    </w:lvl>
    <w:lvl w:ilvl="2">
      <w:start w:val="1"/>
      <w:numFmt w:val="bullet"/>
      <w:lvlText w:val=""/>
      <w:lvlJc w:val="left"/>
      <w:pPr>
        <w:ind w:left="1789" w:hanging="360"/>
      </w:pPr>
      <w:rPr>
        <w:rFonts w:ascii="Symbol" w:hAnsi="Symbol" w:hint="default"/>
      </w:r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rPr>
        <w:color w:val="000000" w:themeColor="text1"/>
      </w:r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5" w15:restartNumberingAfterBreak="0">
    <w:nsid w:val="125D3C8D"/>
    <w:multiLevelType w:val="hybridMultilevel"/>
    <w:tmpl w:val="44643350"/>
    <w:lvl w:ilvl="0" w:tplc="5348571A">
      <w:start w:val="1"/>
      <w:numFmt w:val="bullet"/>
      <w:lvlText w:val=""/>
      <w:lvlJc w:val="left"/>
      <w:pPr>
        <w:ind w:left="720" w:hanging="360"/>
      </w:pPr>
      <w:rPr>
        <w:rFonts w:ascii="Symbol" w:hAnsi="Symbol" w:hint="default"/>
      </w:rPr>
    </w:lvl>
    <w:lvl w:ilvl="1" w:tplc="788E584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C4199C"/>
    <w:multiLevelType w:val="hybridMultilevel"/>
    <w:tmpl w:val="749A9E44"/>
    <w:lvl w:ilvl="0" w:tplc="FF1EBDE2">
      <w:start w:val="1"/>
      <w:numFmt w:val="bullet"/>
      <w:lvlText w:val=""/>
      <w:lvlJc w:val="left"/>
      <w:pPr>
        <w:ind w:left="1789" w:hanging="360"/>
      </w:pPr>
      <w:rPr>
        <w:rFonts w:ascii="Symbol" w:hAnsi="Symbol" w:hint="default"/>
      </w:rPr>
    </w:lvl>
    <w:lvl w:ilvl="1" w:tplc="324262C8" w:tentative="1">
      <w:start w:val="1"/>
      <w:numFmt w:val="bullet"/>
      <w:lvlText w:val="o"/>
      <w:lvlJc w:val="left"/>
      <w:pPr>
        <w:ind w:left="2509" w:hanging="360"/>
      </w:pPr>
      <w:rPr>
        <w:rFonts w:ascii="Courier New" w:hAnsi="Courier New" w:cs="Courier New" w:hint="default"/>
      </w:rPr>
    </w:lvl>
    <w:lvl w:ilvl="2" w:tplc="2F1E035A" w:tentative="1">
      <w:start w:val="1"/>
      <w:numFmt w:val="bullet"/>
      <w:lvlText w:val=""/>
      <w:lvlJc w:val="left"/>
      <w:pPr>
        <w:ind w:left="3229" w:hanging="360"/>
      </w:pPr>
      <w:rPr>
        <w:rFonts w:ascii="Wingdings" w:hAnsi="Wingdings" w:hint="default"/>
      </w:rPr>
    </w:lvl>
    <w:lvl w:ilvl="3" w:tplc="CCA20EE8" w:tentative="1">
      <w:start w:val="1"/>
      <w:numFmt w:val="bullet"/>
      <w:lvlText w:val=""/>
      <w:lvlJc w:val="left"/>
      <w:pPr>
        <w:ind w:left="3949" w:hanging="360"/>
      </w:pPr>
      <w:rPr>
        <w:rFonts w:ascii="Symbol" w:hAnsi="Symbol" w:hint="default"/>
      </w:rPr>
    </w:lvl>
    <w:lvl w:ilvl="4" w:tplc="5732A80E" w:tentative="1">
      <w:start w:val="1"/>
      <w:numFmt w:val="bullet"/>
      <w:lvlText w:val="o"/>
      <w:lvlJc w:val="left"/>
      <w:pPr>
        <w:ind w:left="4669" w:hanging="360"/>
      </w:pPr>
      <w:rPr>
        <w:rFonts w:ascii="Courier New" w:hAnsi="Courier New" w:cs="Courier New" w:hint="default"/>
      </w:rPr>
    </w:lvl>
    <w:lvl w:ilvl="5" w:tplc="A9300C52" w:tentative="1">
      <w:start w:val="1"/>
      <w:numFmt w:val="bullet"/>
      <w:lvlText w:val=""/>
      <w:lvlJc w:val="left"/>
      <w:pPr>
        <w:ind w:left="5389" w:hanging="360"/>
      </w:pPr>
      <w:rPr>
        <w:rFonts w:ascii="Wingdings" w:hAnsi="Wingdings" w:hint="default"/>
      </w:rPr>
    </w:lvl>
    <w:lvl w:ilvl="6" w:tplc="15E69DD6" w:tentative="1">
      <w:start w:val="1"/>
      <w:numFmt w:val="bullet"/>
      <w:lvlText w:val=""/>
      <w:lvlJc w:val="left"/>
      <w:pPr>
        <w:ind w:left="6109" w:hanging="360"/>
      </w:pPr>
      <w:rPr>
        <w:rFonts w:ascii="Symbol" w:hAnsi="Symbol" w:hint="default"/>
      </w:rPr>
    </w:lvl>
    <w:lvl w:ilvl="7" w:tplc="85E2AEA0" w:tentative="1">
      <w:start w:val="1"/>
      <w:numFmt w:val="bullet"/>
      <w:lvlText w:val="o"/>
      <w:lvlJc w:val="left"/>
      <w:pPr>
        <w:ind w:left="6829" w:hanging="360"/>
      </w:pPr>
      <w:rPr>
        <w:rFonts w:ascii="Courier New" w:hAnsi="Courier New" w:cs="Courier New" w:hint="default"/>
      </w:rPr>
    </w:lvl>
    <w:lvl w:ilvl="8" w:tplc="CA40B26E" w:tentative="1">
      <w:start w:val="1"/>
      <w:numFmt w:val="bullet"/>
      <w:lvlText w:val=""/>
      <w:lvlJc w:val="left"/>
      <w:pPr>
        <w:ind w:left="7549" w:hanging="360"/>
      </w:pPr>
      <w:rPr>
        <w:rFonts w:ascii="Wingdings" w:hAnsi="Wingdings" w:hint="default"/>
      </w:rPr>
    </w:lvl>
  </w:abstractNum>
  <w:abstractNum w:abstractNumId="7" w15:restartNumberingAfterBreak="0">
    <w:nsid w:val="1AC666A2"/>
    <w:multiLevelType w:val="hybridMultilevel"/>
    <w:tmpl w:val="4A0E4F24"/>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A15932"/>
    <w:multiLevelType w:val="hybridMultilevel"/>
    <w:tmpl w:val="3E5CB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543D7E"/>
    <w:multiLevelType w:val="hybridMultilevel"/>
    <w:tmpl w:val="0EB0E494"/>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433D03"/>
    <w:multiLevelType w:val="hybridMultilevel"/>
    <w:tmpl w:val="D430CE4A"/>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537473"/>
    <w:multiLevelType w:val="hybridMultilevel"/>
    <w:tmpl w:val="67E08786"/>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EB1746"/>
    <w:multiLevelType w:val="hybridMultilevel"/>
    <w:tmpl w:val="7AA68E34"/>
    <w:lvl w:ilvl="0" w:tplc="17FC7F98">
      <w:start w:val="1"/>
      <w:numFmt w:val="bullet"/>
      <w:lvlText w:val=""/>
      <w:lvlJc w:val="left"/>
      <w:pPr>
        <w:ind w:left="720" w:hanging="360"/>
      </w:pPr>
      <w:rPr>
        <w:rFonts w:ascii="Symbol" w:hAnsi="Symbol" w:hint="default"/>
      </w:rPr>
    </w:lvl>
    <w:lvl w:ilvl="1" w:tplc="FB52346A">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7E0820"/>
    <w:multiLevelType w:val="hybridMultilevel"/>
    <w:tmpl w:val="D5D00CCA"/>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876D4A"/>
    <w:multiLevelType w:val="hybridMultilevel"/>
    <w:tmpl w:val="0B9CD664"/>
    <w:lvl w:ilvl="0" w:tplc="149C05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687323"/>
    <w:multiLevelType w:val="hybridMultilevel"/>
    <w:tmpl w:val="B67EA40A"/>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FB2510"/>
    <w:multiLevelType w:val="hybridMultilevel"/>
    <w:tmpl w:val="25CC6730"/>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1A486B"/>
    <w:multiLevelType w:val="hybridMultilevel"/>
    <w:tmpl w:val="F49C9D50"/>
    <w:lvl w:ilvl="0" w:tplc="F188891E">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8" w15:restartNumberingAfterBreak="0">
    <w:nsid w:val="2EBB0422"/>
    <w:multiLevelType w:val="hybridMultilevel"/>
    <w:tmpl w:val="8B1C56B0"/>
    <w:lvl w:ilvl="0" w:tplc="F2F8D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CB6A81"/>
    <w:multiLevelType w:val="hybridMultilevel"/>
    <w:tmpl w:val="5DF849D0"/>
    <w:lvl w:ilvl="0" w:tplc="5348571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D1565F"/>
    <w:multiLevelType w:val="hybridMultilevel"/>
    <w:tmpl w:val="82F2F498"/>
    <w:lvl w:ilvl="0" w:tplc="F2F8D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E130A6"/>
    <w:multiLevelType w:val="hybridMultilevel"/>
    <w:tmpl w:val="3C8421A0"/>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6A0E68"/>
    <w:multiLevelType w:val="hybridMultilevel"/>
    <w:tmpl w:val="BA8E62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0C77AA2"/>
    <w:multiLevelType w:val="hybridMultilevel"/>
    <w:tmpl w:val="D324CD0E"/>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2E4ADD"/>
    <w:multiLevelType w:val="hybridMultilevel"/>
    <w:tmpl w:val="755486B2"/>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E4680F"/>
    <w:multiLevelType w:val="hybridMultilevel"/>
    <w:tmpl w:val="CFB849F4"/>
    <w:lvl w:ilvl="0" w:tplc="F2F8D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5C6180"/>
    <w:multiLevelType w:val="multilevel"/>
    <w:tmpl w:val="5C32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B70EA"/>
    <w:multiLevelType w:val="hybridMultilevel"/>
    <w:tmpl w:val="019C220E"/>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5AA65E8"/>
    <w:multiLevelType w:val="hybridMultilevel"/>
    <w:tmpl w:val="D1262498"/>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1D2C0E"/>
    <w:multiLevelType w:val="hybridMultilevel"/>
    <w:tmpl w:val="BF5CDF86"/>
    <w:lvl w:ilvl="0" w:tplc="F18889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6633A78"/>
    <w:multiLevelType w:val="hybridMultilevel"/>
    <w:tmpl w:val="7CF438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C332E88"/>
    <w:multiLevelType w:val="hybridMultilevel"/>
    <w:tmpl w:val="F6CA6EC4"/>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58378D"/>
    <w:multiLevelType w:val="hybridMultilevel"/>
    <w:tmpl w:val="AD24AF22"/>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D91EAD"/>
    <w:multiLevelType w:val="multilevel"/>
    <w:tmpl w:val="051C7A08"/>
    <w:lvl w:ilvl="0">
      <w:start w:val="1"/>
      <w:numFmt w:val="bullet"/>
      <w:lvlText w:val=""/>
      <w:lvlJc w:val="left"/>
      <w:pPr>
        <w:tabs>
          <w:tab w:val="num" w:pos="644"/>
        </w:tabs>
        <w:ind w:left="700" w:hanging="34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D37A73"/>
    <w:multiLevelType w:val="hybridMultilevel"/>
    <w:tmpl w:val="B2D62862"/>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400FD9"/>
    <w:multiLevelType w:val="hybridMultilevel"/>
    <w:tmpl w:val="95FA0E5C"/>
    <w:lvl w:ilvl="0" w:tplc="3C4EF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CEE7B8D"/>
    <w:multiLevelType w:val="hybridMultilevel"/>
    <w:tmpl w:val="3B989122"/>
    <w:lvl w:ilvl="0" w:tplc="17FC7F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D5578CC"/>
    <w:multiLevelType w:val="hybridMultilevel"/>
    <w:tmpl w:val="138AFC8A"/>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835764"/>
    <w:multiLevelType w:val="hybridMultilevel"/>
    <w:tmpl w:val="D688A846"/>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22A55FB"/>
    <w:multiLevelType w:val="hybridMultilevel"/>
    <w:tmpl w:val="8CBC9B1A"/>
    <w:lvl w:ilvl="0" w:tplc="F2F8DABE">
      <w:start w:val="1"/>
      <w:numFmt w:val="bullet"/>
      <w:lvlText w:val=""/>
      <w:lvlJc w:val="left"/>
      <w:pPr>
        <w:ind w:left="720" w:hanging="360"/>
      </w:pPr>
      <w:rPr>
        <w:rFonts w:ascii="Symbol" w:hAnsi="Symbol" w:hint="default"/>
      </w:rPr>
    </w:lvl>
    <w:lvl w:ilvl="1" w:tplc="F2F8DAB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A7218E5"/>
    <w:multiLevelType w:val="hybridMultilevel"/>
    <w:tmpl w:val="BB600934"/>
    <w:lvl w:ilvl="0" w:tplc="17FC7F98">
      <w:start w:val="1"/>
      <w:numFmt w:val="bullet"/>
      <w:lvlText w:val=""/>
      <w:lvlJc w:val="left"/>
      <w:pPr>
        <w:ind w:left="720" w:hanging="360"/>
      </w:pPr>
      <w:rPr>
        <w:rFonts w:ascii="Symbol" w:hAnsi="Symbol" w:hint="default"/>
      </w:rPr>
    </w:lvl>
    <w:lvl w:ilvl="1" w:tplc="C9880152">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C4C1A98"/>
    <w:multiLevelType w:val="hybridMultilevel"/>
    <w:tmpl w:val="C374B7A4"/>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DB7845"/>
    <w:multiLevelType w:val="hybridMultilevel"/>
    <w:tmpl w:val="B29E08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1233A16"/>
    <w:multiLevelType w:val="hybridMultilevel"/>
    <w:tmpl w:val="26364AF2"/>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4B2B23"/>
    <w:multiLevelType w:val="hybridMultilevel"/>
    <w:tmpl w:val="0D9EEAFC"/>
    <w:lvl w:ilvl="0" w:tplc="5348571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2B63A69"/>
    <w:multiLevelType w:val="hybridMultilevel"/>
    <w:tmpl w:val="3CD4256C"/>
    <w:lvl w:ilvl="0" w:tplc="F2F8D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5C0B77"/>
    <w:multiLevelType w:val="hybridMultilevel"/>
    <w:tmpl w:val="2D1CDF60"/>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FC1D68"/>
    <w:multiLevelType w:val="hybridMultilevel"/>
    <w:tmpl w:val="A306B218"/>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7101C00"/>
    <w:multiLevelType w:val="hybridMultilevel"/>
    <w:tmpl w:val="DD56A6A0"/>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DB4A9B"/>
    <w:multiLevelType w:val="hybridMultilevel"/>
    <w:tmpl w:val="E634E94E"/>
    <w:lvl w:ilvl="0" w:tplc="17FC7F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A5B68E6"/>
    <w:multiLevelType w:val="hybridMultilevel"/>
    <w:tmpl w:val="2E364484"/>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80687E"/>
    <w:multiLevelType w:val="hybridMultilevel"/>
    <w:tmpl w:val="D674C4EA"/>
    <w:lvl w:ilvl="0" w:tplc="17FC7F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6E197E8D"/>
    <w:multiLevelType w:val="hybridMultilevel"/>
    <w:tmpl w:val="1CDEBEC4"/>
    <w:lvl w:ilvl="0" w:tplc="9DCC113A">
      <w:start w:val="1"/>
      <w:numFmt w:val="decimal"/>
      <w:lvlText w:val="%1."/>
      <w:lvlJc w:val="left"/>
      <w:pPr>
        <w:ind w:left="720" w:hanging="360"/>
      </w:pPr>
    </w:lvl>
    <w:lvl w:ilvl="1" w:tplc="5DB8EA5E">
      <w:start w:val="1"/>
      <w:numFmt w:val="decimal"/>
      <w:lvlText w:val="%2)"/>
      <w:lvlJc w:val="left"/>
      <w:pPr>
        <w:ind w:left="1776" w:hanging="696"/>
      </w:pPr>
      <w:rPr>
        <w:rFonts w:hint="default"/>
      </w:rPr>
    </w:lvl>
    <w:lvl w:ilvl="2" w:tplc="D2DE3CC6">
      <w:start w:val="1"/>
      <w:numFmt w:val="lowerRoman"/>
      <w:lvlText w:val="%3."/>
      <w:lvlJc w:val="right"/>
      <w:pPr>
        <w:ind w:left="2160" w:hanging="180"/>
      </w:pPr>
    </w:lvl>
    <w:lvl w:ilvl="3" w:tplc="D5B663C8" w:tentative="1">
      <w:start w:val="1"/>
      <w:numFmt w:val="decimal"/>
      <w:lvlText w:val="%4."/>
      <w:lvlJc w:val="left"/>
      <w:pPr>
        <w:ind w:left="2880" w:hanging="360"/>
      </w:pPr>
    </w:lvl>
    <w:lvl w:ilvl="4" w:tplc="8FAAEAC4" w:tentative="1">
      <w:start w:val="1"/>
      <w:numFmt w:val="lowerLetter"/>
      <w:lvlText w:val="%5."/>
      <w:lvlJc w:val="left"/>
      <w:pPr>
        <w:ind w:left="3600" w:hanging="360"/>
      </w:pPr>
    </w:lvl>
    <w:lvl w:ilvl="5" w:tplc="EFBC7D54" w:tentative="1">
      <w:start w:val="1"/>
      <w:numFmt w:val="lowerRoman"/>
      <w:lvlText w:val="%6."/>
      <w:lvlJc w:val="right"/>
      <w:pPr>
        <w:ind w:left="4320" w:hanging="180"/>
      </w:pPr>
    </w:lvl>
    <w:lvl w:ilvl="6" w:tplc="7ECE12C6" w:tentative="1">
      <w:start w:val="1"/>
      <w:numFmt w:val="decimal"/>
      <w:lvlText w:val="%7."/>
      <w:lvlJc w:val="left"/>
      <w:pPr>
        <w:ind w:left="5040" w:hanging="360"/>
      </w:pPr>
    </w:lvl>
    <w:lvl w:ilvl="7" w:tplc="A43C041E" w:tentative="1">
      <w:start w:val="1"/>
      <w:numFmt w:val="lowerLetter"/>
      <w:lvlText w:val="%8."/>
      <w:lvlJc w:val="left"/>
      <w:pPr>
        <w:ind w:left="5760" w:hanging="360"/>
      </w:pPr>
    </w:lvl>
    <w:lvl w:ilvl="8" w:tplc="5E882222" w:tentative="1">
      <w:start w:val="1"/>
      <w:numFmt w:val="lowerRoman"/>
      <w:lvlText w:val="%9."/>
      <w:lvlJc w:val="right"/>
      <w:pPr>
        <w:ind w:left="6480" w:hanging="180"/>
      </w:pPr>
    </w:lvl>
  </w:abstractNum>
  <w:abstractNum w:abstractNumId="53" w15:restartNumberingAfterBreak="0">
    <w:nsid w:val="718552ED"/>
    <w:multiLevelType w:val="hybridMultilevel"/>
    <w:tmpl w:val="49F48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D82A6E"/>
    <w:multiLevelType w:val="hybridMultilevel"/>
    <w:tmpl w:val="F138AD10"/>
    <w:lvl w:ilvl="0" w:tplc="17FC7F9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73850E25"/>
    <w:multiLevelType w:val="hybridMultilevel"/>
    <w:tmpl w:val="949487D8"/>
    <w:lvl w:ilvl="0" w:tplc="3C4EF8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4715443"/>
    <w:multiLevelType w:val="hybridMultilevel"/>
    <w:tmpl w:val="49CA39FC"/>
    <w:lvl w:ilvl="0" w:tplc="04150011">
      <w:start w:val="1"/>
      <w:numFmt w:val="decimal"/>
      <w:lvlText w:val="%1)"/>
      <w:lvlJc w:val="left"/>
      <w:pPr>
        <w:ind w:left="720" w:hanging="360"/>
      </w:pPr>
    </w:lvl>
    <w:lvl w:ilvl="1" w:tplc="048CB69A">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FB6DE2"/>
    <w:multiLevelType w:val="hybridMultilevel"/>
    <w:tmpl w:val="9266F5A0"/>
    <w:lvl w:ilvl="0" w:tplc="53485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A0F6601"/>
    <w:multiLevelType w:val="hybridMultilevel"/>
    <w:tmpl w:val="E75C39E0"/>
    <w:lvl w:ilvl="0" w:tplc="17FC7F98">
      <w:start w:val="1"/>
      <w:numFmt w:val="bullet"/>
      <w:lvlText w:val=""/>
      <w:lvlJc w:val="left"/>
      <w:pPr>
        <w:ind w:left="720" w:hanging="360"/>
      </w:pPr>
      <w:rPr>
        <w:rFonts w:ascii="Symbol" w:hAnsi="Symbol" w:hint="default"/>
      </w:rPr>
    </w:lvl>
    <w:lvl w:ilvl="1" w:tplc="EF7C2020">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C6C20F9"/>
    <w:multiLevelType w:val="hybridMultilevel"/>
    <w:tmpl w:val="39549974"/>
    <w:lvl w:ilvl="0" w:tplc="EF7C20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D631EB0"/>
    <w:multiLevelType w:val="multilevel"/>
    <w:tmpl w:val="04300B90"/>
    <w:styleLink w:val="WWNum19"/>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61" w15:restartNumberingAfterBreak="0">
    <w:nsid w:val="7F2B6B87"/>
    <w:multiLevelType w:val="multilevel"/>
    <w:tmpl w:val="D69C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388313">
    <w:abstractNumId w:val="13"/>
  </w:num>
  <w:num w:numId="2" w16cid:durableId="519585570">
    <w:abstractNumId w:val="16"/>
  </w:num>
  <w:num w:numId="3" w16cid:durableId="737478897">
    <w:abstractNumId w:val="19"/>
  </w:num>
  <w:num w:numId="4" w16cid:durableId="612589640">
    <w:abstractNumId w:val="9"/>
  </w:num>
  <w:num w:numId="5" w16cid:durableId="1221088456">
    <w:abstractNumId w:val="31"/>
  </w:num>
  <w:num w:numId="6" w16cid:durableId="1757550417">
    <w:abstractNumId w:val="5"/>
  </w:num>
  <w:num w:numId="7" w16cid:durableId="2101219307">
    <w:abstractNumId w:val="11"/>
  </w:num>
  <w:num w:numId="8" w16cid:durableId="2066828633">
    <w:abstractNumId w:val="21"/>
  </w:num>
  <w:num w:numId="9" w16cid:durableId="1332683094">
    <w:abstractNumId w:val="47"/>
  </w:num>
  <w:num w:numId="10" w16cid:durableId="1326785992">
    <w:abstractNumId w:val="57"/>
  </w:num>
  <w:num w:numId="11" w16cid:durableId="366025659">
    <w:abstractNumId w:val="43"/>
  </w:num>
  <w:num w:numId="12" w16cid:durableId="1577324161">
    <w:abstractNumId w:val="32"/>
  </w:num>
  <w:num w:numId="13" w16cid:durableId="1768960232">
    <w:abstractNumId w:val="24"/>
  </w:num>
  <w:num w:numId="14" w16cid:durableId="441648730">
    <w:abstractNumId w:val="10"/>
  </w:num>
  <w:num w:numId="15" w16cid:durableId="891579631">
    <w:abstractNumId w:val="34"/>
  </w:num>
  <w:num w:numId="16" w16cid:durableId="1195728950">
    <w:abstractNumId w:val="23"/>
  </w:num>
  <w:num w:numId="17" w16cid:durableId="1425490057">
    <w:abstractNumId w:val="15"/>
  </w:num>
  <w:num w:numId="18" w16cid:durableId="758523962">
    <w:abstractNumId w:val="38"/>
  </w:num>
  <w:num w:numId="19" w16cid:durableId="948777070">
    <w:abstractNumId w:val="0"/>
  </w:num>
  <w:num w:numId="20" w16cid:durableId="1715421408">
    <w:abstractNumId w:val="17"/>
  </w:num>
  <w:num w:numId="21" w16cid:durableId="340159020">
    <w:abstractNumId w:val="29"/>
  </w:num>
  <w:num w:numId="22" w16cid:durableId="657074880">
    <w:abstractNumId w:val="46"/>
  </w:num>
  <w:num w:numId="23" w16cid:durableId="465321997">
    <w:abstractNumId w:val="45"/>
  </w:num>
  <w:num w:numId="24" w16cid:durableId="1358431356">
    <w:abstractNumId w:val="48"/>
  </w:num>
  <w:num w:numId="25" w16cid:durableId="293215411">
    <w:abstractNumId w:val="51"/>
  </w:num>
  <w:num w:numId="26" w16cid:durableId="523713385">
    <w:abstractNumId w:val="54"/>
  </w:num>
  <w:num w:numId="27" w16cid:durableId="841163220">
    <w:abstractNumId w:val="35"/>
  </w:num>
  <w:num w:numId="28" w16cid:durableId="1552880437">
    <w:abstractNumId w:val="12"/>
  </w:num>
  <w:num w:numId="29" w16cid:durableId="421724249">
    <w:abstractNumId w:val="7"/>
  </w:num>
  <w:num w:numId="30" w16cid:durableId="1787893002">
    <w:abstractNumId w:val="14"/>
  </w:num>
  <w:num w:numId="31" w16cid:durableId="1588466745">
    <w:abstractNumId w:val="44"/>
  </w:num>
  <w:num w:numId="32" w16cid:durableId="1431967880">
    <w:abstractNumId w:val="39"/>
  </w:num>
  <w:num w:numId="33" w16cid:durableId="532575004">
    <w:abstractNumId w:val="20"/>
  </w:num>
  <w:num w:numId="34" w16cid:durableId="1623027059">
    <w:abstractNumId w:val="55"/>
  </w:num>
  <w:num w:numId="35" w16cid:durableId="1478454450">
    <w:abstractNumId w:val="25"/>
  </w:num>
  <w:num w:numId="36" w16cid:durableId="227307670">
    <w:abstractNumId w:val="40"/>
  </w:num>
  <w:num w:numId="37" w16cid:durableId="1073547388">
    <w:abstractNumId w:val="56"/>
  </w:num>
  <w:num w:numId="38" w16cid:durableId="1663772701">
    <w:abstractNumId w:val="61"/>
  </w:num>
  <w:num w:numId="39" w16cid:durableId="1657877711">
    <w:abstractNumId w:val="26"/>
  </w:num>
  <w:num w:numId="40" w16cid:durableId="566458367">
    <w:abstractNumId w:val="30"/>
  </w:num>
  <w:num w:numId="41" w16cid:durableId="133110445">
    <w:abstractNumId w:val="42"/>
  </w:num>
  <w:num w:numId="42" w16cid:durableId="1822388212">
    <w:abstractNumId w:val="22"/>
  </w:num>
  <w:num w:numId="43" w16cid:durableId="1785345070">
    <w:abstractNumId w:val="33"/>
  </w:num>
  <w:num w:numId="44" w16cid:durableId="71243688">
    <w:abstractNumId w:val="2"/>
  </w:num>
  <w:num w:numId="45" w16cid:durableId="658919985">
    <w:abstractNumId w:val="18"/>
  </w:num>
  <w:num w:numId="46" w16cid:durableId="20591253">
    <w:abstractNumId w:val="53"/>
  </w:num>
  <w:num w:numId="47" w16cid:durableId="1578325106">
    <w:abstractNumId w:val="36"/>
  </w:num>
  <w:num w:numId="48" w16cid:durableId="1397245552">
    <w:abstractNumId w:val="58"/>
  </w:num>
  <w:num w:numId="49" w16cid:durableId="1186214313">
    <w:abstractNumId w:val="49"/>
  </w:num>
  <w:num w:numId="50" w16cid:durableId="135225157">
    <w:abstractNumId w:val="27"/>
  </w:num>
  <w:num w:numId="51" w16cid:durableId="749541331">
    <w:abstractNumId w:val="59"/>
  </w:num>
  <w:num w:numId="52" w16cid:durableId="1675692927">
    <w:abstractNumId w:val="37"/>
  </w:num>
  <w:num w:numId="53" w16cid:durableId="37245073">
    <w:abstractNumId w:val="41"/>
  </w:num>
  <w:num w:numId="54" w16cid:durableId="2124688070">
    <w:abstractNumId w:val="8"/>
  </w:num>
  <w:num w:numId="55" w16cid:durableId="111171850">
    <w:abstractNumId w:val="28"/>
  </w:num>
  <w:num w:numId="56" w16cid:durableId="1305039963">
    <w:abstractNumId w:val="50"/>
  </w:num>
  <w:num w:numId="57" w16cid:durableId="1257519369">
    <w:abstractNumId w:val="1"/>
  </w:num>
  <w:num w:numId="58" w16cid:durableId="2101680065">
    <w:abstractNumId w:val="4"/>
  </w:num>
  <w:num w:numId="59" w16cid:durableId="849375415">
    <w:abstractNumId w:val="52"/>
  </w:num>
  <w:num w:numId="60" w16cid:durableId="570963945">
    <w:abstractNumId w:val="6"/>
  </w:num>
  <w:num w:numId="61" w16cid:durableId="661586049">
    <w:abstractNumId w:val="60"/>
  </w:num>
  <w:num w:numId="62" w16cid:durableId="806238424">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78"/>
    <w:rsid w:val="00040662"/>
    <w:rsid w:val="00047E8D"/>
    <w:rsid w:val="00095EB1"/>
    <w:rsid w:val="000A1D02"/>
    <w:rsid w:val="000A5210"/>
    <w:rsid w:val="001440B0"/>
    <w:rsid w:val="00144EF1"/>
    <w:rsid w:val="001469BF"/>
    <w:rsid w:val="00190047"/>
    <w:rsid w:val="001A0E05"/>
    <w:rsid w:val="001D2D19"/>
    <w:rsid w:val="001F503C"/>
    <w:rsid w:val="00223738"/>
    <w:rsid w:val="0025361F"/>
    <w:rsid w:val="0029327A"/>
    <w:rsid w:val="002B0689"/>
    <w:rsid w:val="002D500E"/>
    <w:rsid w:val="002E68A5"/>
    <w:rsid w:val="002F4629"/>
    <w:rsid w:val="0031222E"/>
    <w:rsid w:val="00326E78"/>
    <w:rsid w:val="00327867"/>
    <w:rsid w:val="0035051B"/>
    <w:rsid w:val="003548E4"/>
    <w:rsid w:val="003B2C0E"/>
    <w:rsid w:val="00446FFB"/>
    <w:rsid w:val="0045286B"/>
    <w:rsid w:val="00471647"/>
    <w:rsid w:val="00471E2A"/>
    <w:rsid w:val="004C380B"/>
    <w:rsid w:val="004E1E4E"/>
    <w:rsid w:val="00510607"/>
    <w:rsid w:val="0058659A"/>
    <w:rsid w:val="005E136C"/>
    <w:rsid w:val="005F29E5"/>
    <w:rsid w:val="006033CF"/>
    <w:rsid w:val="006802AD"/>
    <w:rsid w:val="006C181D"/>
    <w:rsid w:val="00704201"/>
    <w:rsid w:val="00720884"/>
    <w:rsid w:val="00767200"/>
    <w:rsid w:val="0078439B"/>
    <w:rsid w:val="007846EC"/>
    <w:rsid w:val="007933CE"/>
    <w:rsid w:val="00796258"/>
    <w:rsid w:val="008A3A75"/>
    <w:rsid w:val="008E06E5"/>
    <w:rsid w:val="008E3758"/>
    <w:rsid w:val="009174EF"/>
    <w:rsid w:val="00956055"/>
    <w:rsid w:val="00992190"/>
    <w:rsid w:val="00A0505F"/>
    <w:rsid w:val="00A22C79"/>
    <w:rsid w:val="00A24E7C"/>
    <w:rsid w:val="00A7092C"/>
    <w:rsid w:val="00AC14DE"/>
    <w:rsid w:val="00B028C7"/>
    <w:rsid w:val="00B0719A"/>
    <w:rsid w:val="00B604BB"/>
    <w:rsid w:val="00B74E90"/>
    <w:rsid w:val="00B90979"/>
    <w:rsid w:val="00C44D8F"/>
    <w:rsid w:val="00C61956"/>
    <w:rsid w:val="00C67F4B"/>
    <w:rsid w:val="00C821DC"/>
    <w:rsid w:val="00C93913"/>
    <w:rsid w:val="00CB1596"/>
    <w:rsid w:val="00CC129C"/>
    <w:rsid w:val="00CF51B6"/>
    <w:rsid w:val="00DC1F05"/>
    <w:rsid w:val="00E07A11"/>
    <w:rsid w:val="00E84DE1"/>
    <w:rsid w:val="00F07D28"/>
    <w:rsid w:val="00F87786"/>
    <w:rsid w:val="00FC6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4AAA"/>
  <w15:chartTrackingRefBased/>
  <w15:docId w15:val="{3739DCB9-476E-4450-A8A8-D47EBAE6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286B"/>
  </w:style>
  <w:style w:type="paragraph" w:styleId="Nagwek1">
    <w:name w:val="heading 1"/>
    <w:basedOn w:val="Normalny"/>
    <w:next w:val="Normalny"/>
    <w:link w:val="Nagwek1Znak"/>
    <w:uiPriority w:val="9"/>
    <w:qFormat/>
    <w:rsid w:val="00223738"/>
    <w:pPr>
      <w:keepNext/>
      <w:keepLines/>
      <w:spacing w:before="120" w:after="120"/>
      <w:jc w:val="both"/>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unhideWhenUsed/>
    <w:qFormat/>
    <w:rsid w:val="00223738"/>
    <w:pPr>
      <w:keepNext/>
      <w:keepLines/>
      <w:spacing w:before="120" w:after="120"/>
      <w:jc w:val="both"/>
      <w:outlineLvl w:val="1"/>
    </w:pPr>
    <w:rPr>
      <w:rFonts w:ascii="Arial" w:eastAsiaTheme="majorEastAsia" w:hAnsi="Arial" w:cstheme="majorBidi"/>
      <w:b/>
      <w:sz w:val="24"/>
      <w:szCs w:val="26"/>
    </w:rPr>
  </w:style>
  <w:style w:type="paragraph" w:styleId="Nagwek3">
    <w:name w:val="heading 3"/>
    <w:basedOn w:val="Normalny"/>
    <w:next w:val="Normalny"/>
    <w:link w:val="Nagwek3Znak"/>
    <w:uiPriority w:val="9"/>
    <w:semiHidden/>
    <w:unhideWhenUsed/>
    <w:qFormat/>
    <w:rsid w:val="00223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2237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3738"/>
    <w:rPr>
      <w:rFonts w:ascii="Arial" w:eastAsiaTheme="majorEastAsia" w:hAnsi="Arial" w:cstheme="majorBidi"/>
      <w:b/>
      <w:sz w:val="28"/>
      <w:szCs w:val="32"/>
    </w:rPr>
  </w:style>
  <w:style w:type="character" w:customStyle="1" w:styleId="Nagwek2Znak">
    <w:name w:val="Nagłówek 2 Znak"/>
    <w:basedOn w:val="Domylnaczcionkaakapitu"/>
    <w:link w:val="Nagwek2"/>
    <w:uiPriority w:val="9"/>
    <w:rsid w:val="00223738"/>
    <w:rPr>
      <w:rFonts w:ascii="Arial" w:eastAsiaTheme="majorEastAsia" w:hAnsi="Arial" w:cstheme="majorBidi"/>
      <w:b/>
      <w:sz w:val="24"/>
      <w:szCs w:val="26"/>
    </w:rPr>
  </w:style>
  <w:style w:type="character" w:customStyle="1" w:styleId="Nagwek3Znak">
    <w:name w:val="Nagłówek 3 Znak"/>
    <w:basedOn w:val="Domylnaczcionkaakapitu"/>
    <w:link w:val="Nagwek3"/>
    <w:uiPriority w:val="9"/>
    <w:semiHidden/>
    <w:rsid w:val="00223738"/>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223738"/>
    <w:rPr>
      <w:rFonts w:asciiTheme="majorHAnsi" w:eastAsiaTheme="majorEastAsia" w:hAnsiTheme="majorHAnsi" w:cstheme="majorBidi"/>
      <w:i/>
      <w:iCs/>
      <w:color w:val="2E74B5" w:themeColor="accent1" w:themeShade="BF"/>
    </w:rPr>
  </w:style>
  <w:style w:type="table" w:styleId="Tabela-Siatka">
    <w:name w:val="Table Grid"/>
    <w:basedOn w:val="Standardowy"/>
    <w:uiPriority w:val="39"/>
    <w:rsid w:val="00223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_Paragraph,Multilevel para_II,List Paragraph1,Bullet1,Bullets,List Paragraph 1,References,List Paragraph (numbered (a)),IBL List Paragraph,List Paragraph nowy,List Paragraph"/>
    <w:basedOn w:val="Normalny"/>
    <w:link w:val="AkapitzlistZnak"/>
    <w:qFormat/>
    <w:rsid w:val="00223738"/>
    <w:pPr>
      <w:ind w:left="720"/>
      <w:contextualSpacing/>
    </w:pPr>
  </w:style>
  <w:style w:type="character" w:customStyle="1" w:styleId="AkapitzlistZnak">
    <w:name w:val="Akapit z listą Znak"/>
    <w:aliases w:val="Numerowanie Znak,Akapit z listą BS Znak,Kolorowa lista — akcent 11 Znak,List_Paragraph Znak,Multilevel para_II Znak,List Paragraph1 Znak,Bullet1 Znak,Bullets Znak,List Paragraph 1 Znak,References Znak,IBL List Paragraph Znak"/>
    <w:link w:val="Akapitzlist"/>
    <w:qFormat/>
    <w:locked/>
    <w:rsid w:val="00223738"/>
  </w:style>
  <w:style w:type="character" w:customStyle="1" w:styleId="TekstdymkaZnak">
    <w:name w:val="Tekst dymka Znak"/>
    <w:basedOn w:val="Domylnaczcionkaakapitu"/>
    <w:link w:val="Tekstdymka"/>
    <w:uiPriority w:val="99"/>
    <w:semiHidden/>
    <w:rsid w:val="00223738"/>
    <w:rPr>
      <w:rFonts w:ascii="Segoe UI" w:hAnsi="Segoe UI" w:cs="Segoe UI"/>
      <w:sz w:val="18"/>
      <w:szCs w:val="18"/>
    </w:rPr>
  </w:style>
  <w:style w:type="paragraph" w:styleId="Tekstdymka">
    <w:name w:val="Balloon Text"/>
    <w:basedOn w:val="Normalny"/>
    <w:link w:val="TekstdymkaZnak"/>
    <w:uiPriority w:val="99"/>
    <w:semiHidden/>
    <w:unhideWhenUsed/>
    <w:rsid w:val="00223738"/>
    <w:pPr>
      <w:spacing w:after="0" w:line="240" w:lineRule="auto"/>
    </w:pPr>
    <w:rPr>
      <w:rFonts w:ascii="Segoe UI" w:hAnsi="Segoe UI" w:cs="Segoe UI"/>
      <w:sz w:val="18"/>
      <w:szCs w:val="18"/>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Podpis nad obiektem"/>
    <w:basedOn w:val="Normalny"/>
    <w:next w:val="Normalny"/>
    <w:uiPriority w:val="35"/>
    <w:unhideWhenUsed/>
    <w:qFormat/>
    <w:rsid w:val="00223738"/>
    <w:pPr>
      <w:spacing w:after="0" w:line="240" w:lineRule="auto"/>
    </w:pPr>
    <w:rPr>
      <w:rFonts w:ascii="Times New Roman" w:eastAsia="Times New Roman" w:hAnsi="Times New Roman" w:cs="Times New Roman"/>
      <w:b/>
      <w:bCs/>
      <w:color w:val="4F81BD"/>
      <w:sz w:val="18"/>
      <w:szCs w:val="18"/>
      <w:lang w:eastAsia="pl-PL"/>
    </w:rPr>
  </w:style>
  <w:style w:type="paragraph" w:styleId="Bezodstpw">
    <w:name w:val="No Spacing"/>
    <w:link w:val="BezodstpwZnak"/>
    <w:uiPriority w:val="1"/>
    <w:qFormat/>
    <w:rsid w:val="00223738"/>
    <w:pPr>
      <w:spacing w:before="120" w:after="120" w:line="360" w:lineRule="auto"/>
      <w:ind w:right="-6"/>
      <w:jc w:val="both"/>
    </w:pPr>
    <w:rPr>
      <w:rFonts w:ascii="Arial" w:eastAsia="Times New Roman" w:hAnsi="Arial" w:cs="Times New Roman"/>
      <w:szCs w:val="20"/>
    </w:rPr>
  </w:style>
  <w:style w:type="character" w:customStyle="1" w:styleId="BezodstpwZnak">
    <w:name w:val="Bez odstępów Znak"/>
    <w:link w:val="Bezodstpw"/>
    <w:uiPriority w:val="1"/>
    <w:rsid w:val="00223738"/>
    <w:rPr>
      <w:rFonts w:ascii="Arial" w:eastAsia="Times New Roman" w:hAnsi="Arial" w:cs="Times New Roman"/>
      <w:szCs w:val="20"/>
    </w:rPr>
  </w:style>
  <w:style w:type="paragraph" w:styleId="Tekstprzypisudolnego">
    <w:name w:val="footnote text"/>
    <w:basedOn w:val="Normalny"/>
    <w:link w:val="TekstprzypisudolnegoZnak"/>
    <w:uiPriority w:val="99"/>
    <w:semiHidden/>
    <w:rsid w:val="00223738"/>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223738"/>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223738"/>
    <w:rPr>
      <w:vertAlign w:val="superscript"/>
    </w:rPr>
  </w:style>
  <w:style w:type="character" w:styleId="Hipercze">
    <w:name w:val="Hyperlink"/>
    <w:basedOn w:val="Domylnaczcionkaakapitu"/>
    <w:uiPriority w:val="99"/>
    <w:unhideWhenUsed/>
    <w:rsid w:val="00223738"/>
    <w:rPr>
      <w:color w:val="0563C1" w:themeColor="hyperlink"/>
      <w:u w:val="single"/>
    </w:rPr>
  </w:style>
  <w:style w:type="paragraph" w:customStyle="1" w:styleId="Default">
    <w:name w:val="Default"/>
    <w:rsid w:val="00223738"/>
    <w:pPr>
      <w:autoSpaceDE w:val="0"/>
      <w:autoSpaceDN w:val="0"/>
      <w:adjustRightInd w:val="0"/>
      <w:spacing w:after="0" w:line="240" w:lineRule="auto"/>
    </w:pPr>
    <w:rPr>
      <w:rFonts w:ascii="Times New Roman" w:hAnsi="Times New Roman" w:cs="Times New Roman"/>
      <w:color w:val="000000"/>
      <w:sz w:val="24"/>
      <w:szCs w:val="24"/>
    </w:rPr>
  </w:style>
  <w:style w:type="paragraph" w:styleId="Tekstkomentarza">
    <w:name w:val="annotation text"/>
    <w:basedOn w:val="Normalny"/>
    <w:link w:val="TekstkomentarzaZnak"/>
    <w:uiPriority w:val="99"/>
    <w:unhideWhenUsed/>
    <w:qFormat/>
    <w:rsid w:val="00223738"/>
    <w:pPr>
      <w:spacing w:line="240" w:lineRule="auto"/>
    </w:pPr>
    <w:rPr>
      <w:sz w:val="20"/>
      <w:szCs w:val="20"/>
    </w:rPr>
  </w:style>
  <w:style w:type="character" w:customStyle="1" w:styleId="TekstkomentarzaZnak">
    <w:name w:val="Tekst komentarza Znak"/>
    <w:basedOn w:val="Domylnaczcionkaakapitu"/>
    <w:link w:val="Tekstkomentarza"/>
    <w:uiPriority w:val="99"/>
    <w:rsid w:val="00223738"/>
    <w:rPr>
      <w:sz w:val="20"/>
      <w:szCs w:val="20"/>
    </w:rPr>
  </w:style>
  <w:style w:type="character" w:customStyle="1" w:styleId="TematkomentarzaZnak">
    <w:name w:val="Temat komentarza Znak"/>
    <w:basedOn w:val="TekstkomentarzaZnak"/>
    <w:link w:val="Tematkomentarza"/>
    <w:uiPriority w:val="99"/>
    <w:semiHidden/>
    <w:rsid w:val="00223738"/>
    <w:rPr>
      <w:b/>
      <w:bCs/>
      <w:sz w:val="20"/>
      <w:szCs w:val="20"/>
    </w:rPr>
  </w:style>
  <w:style w:type="paragraph" w:styleId="Tematkomentarza">
    <w:name w:val="annotation subject"/>
    <w:basedOn w:val="Tekstkomentarza"/>
    <w:next w:val="Tekstkomentarza"/>
    <w:link w:val="TematkomentarzaZnak"/>
    <w:uiPriority w:val="99"/>
    <w:semiHidden/>
    <w:unhideWhenUsed/>
    <w:rsid w:val="00223738"/>
    <w:rPr>
      <w:b/>
      <w:bCs/>
    </w:rPr>
  </w:style>
  <w:style w:type="character" w:customStyle="1" w:styleId="highlight">
    <w:name w:val="highlight"/>
    <w:basedOn w:val="Domylnaczcionkaakapitu"/>
    <w:rsid w:val="00223738"/>
  </w:style>
  <w:style w:type="character" w:styleId="UyteHipercze">
    <w:name w:val="FollowedHyperlink"/>
    <w:basedOn w:val="Domylnaczcionkaakapitu"/>
    <w:uiPriority w:val="99"/>
    <w:semiHidden/>
    <w:unhideWhenUsed/>
    <w:rsid w:val="00223738"/>
    <w:rPr>
      <w:color w:val="954F72" w:themeColor="followedHyperlink"/>
      <w:u w:val="single"/>
    </w:rPr>
  </w:style>
  <w:style w:type="paragraph" w:styleId="NormalnyWeb">
    <w:name w:val="Normal (Web)"/>
    <w:basedOn w:val="Normalny"/>
    <w:uiPriority w:val="99"/>
    <w:unhideWhenUsed/>
    <w:rsid w:val="002237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23738"/>
    <w:rPr>
      <w:b/>
      <w:bCs/>
    </w:rPr>
  </w:style>
  <w:style w:type="character" w:customStyle="1" w:styleId="no-underline">
    <w:name w:val="no-underline"/>
    <w:basedOn w:val="Domylnaczcionkaakapitu"/>
    <w:rsid w:val="00223738"/>
  </w:style>
  <w:style w:type="character" w:customStyle="1" w:styleId="TekstprzypisukocowegoZnak">
    <w:name w:val="Tekst przypisu końcowego Znak"/>
    <w:basedOn w:val="Domylnaczcionkaakapitu"/>
    <w:link w:val="Tekstprzypisukocowego"/>
    <w:uiPriority w:val="99"/>
    <w:semiHidden/>
    <w:rsid w:val="00223738"/>
    <w:rPr>
      <w:sz w:val="20"/>
      <w:szCs w:val="20"/>
    </w:rPr>
  </w:style>
  <w:style w:type="paragraph" w:styleId="Tekstprzypisukocowego">
    <w:name w:val="endnote text"/>
    <w:basedOn w:val="Normalny"/>
    <w:link w:val="TekstprzypisukocowegoZnak"/>
    <w:uiPriority w:val="99"/>
    <w:semiHidden/>
    <w:unhideWhenUsed/>
    <w:rsid w:val="00223738"/>
    <w:pPr>
      <w:spacing w:after="0" w:line="240" w:lineRule="auto"/>
    </w:pPr>
    <w:rPr>
      <w:sz w:val="20"/>
      <w:szCs w:val="20"/>
    </w:rPr>
  </w:style>
  <w:style w:type="character" w:styleId="Odwoanieprzypisukocowego">
    <w:name w:val="endnote reference"/>
    <w:basedOn w:val="Domylnaczcionkaakapitu"/>
    <w:uiPriority w:val="99"/>
    <w:semiHidden/>
    <w:unhideWhenUsed/>
    <w:rsid w:val="00223738"/>
    <w:rPr>
      <w:vertAlign w:val="superscript"/>
    </w:rPr>
  </w:style>
  <w:style w:type="character" w:customStyle="1" w:styleId="item-fieldvalue">
    <w:name w:val="item-fieldvalue"/>
    <w:basedOn w:val="Domylnaczcionkaakapitu"/>
    <w:rsid w:val="00223738"/>
  </w:style>
  <w:style w:type="paragraph" w:styleId="Tekstpodstawowy">
    <w:name w:val="Body Text"/>
    <w:basedOn w:val="Normalny"/>
    <w:link w:val="TekstpodstawowyZnak"/>
    <w:unhideWhenUsed/>
    <w:rsid w:val="00223738"/>
    <w:pPr>
      <w:spacing w:after="120" w:line="240" w:lineRule="auto"/>
    </w:pPr>
    <w:rPr>
      <w:rFonts w:ascii="Arial" w:eastAsia="Calibri" w:hAnsi="Arial" w:cs="Times New Roman"/>
      <w:lang w:val="x-none"/>
    </w:rPr>
  </w:style>
  <w:style w:type="character" w:customStyle="1" w:styleId="TekstpodstawowyZnak">
    <w:name w:val="Tekst podstawowy Znak"/>
    <w:basedOn w:val="Domylnaczcionkaakapitu"/>
    <w:link w:val="Tekstpodstawowy"/>
    <w:rsid w:val="00223738"/>
    <w:rPr>
      <w:rFonts w:ascii="Arial" w:eastAsia="Calibri" w:hAnsi="Arial" w:cs="Times New Roman"/>
      <w:lang w:val="x-none"/>
    </w:rPr>
  </w:style>
  <w:style w:type="character" w:customStyle="1" w:styleId="ng-binding">
    <w:name w:val="ng-binding"/>
    <w:basedOn w:val="Domylnaczcionkaakapitu"/>
    <w:rsid w:val="00223738"/>
  </w:style>
  <w:style w:type="paragraph" w:styleId="Nagwek">
    <w:name w:val="header"/>
    <w:basedOn w:val="Normalny"/>
    <w:link w:val="NagwekZnak"/>
    <w:uiPriority w:val="99"/>
    <w:unhideWhenUsed/>
    <w:rsid w:val="00223738"/>
    <w:pPr>
      <w:tabs>
        <w:tab w:val="center" w:pos="4536"/>
        <w:tab w:val="right" w:pos="9072"/>
      </w:tabs>
      <w:spacing w:after="0" w:line="240" w:lineRule="auto"/>
    </w:pPr>
    <w:rPr>
      <w:rFonts w:eastAsia="Times New Roman" w:cs="Times New Roman"/>
    </w:rPr>
  </w:style>
  <w:style w:type="character" w:customStyle="1" w:styleId="NagwekZnak">
    <w:name w:val="Nagłówek Znak"/>
    <w:basedOn w:val="Domylnaczcionkaakapitu"/>
    <w:link w:val="Nagwek"/>
    <w:uiPriority w:val="99"/>
    <w:rsid w:val="00223738"/>
    <w:rPr>
      <w:rFonts w:eastAsia="Times New Roman" w:cs="Times New Roman"/>
    </w:rPr>
  </w:style>
  <w:style w:type="paragraph" w:styleId="Stopka">
    <w:name w:val="footer"/>
    <w:basedOn w:val="Normalny"/>
    <w:link w:val="StopkaZnak"/>
    <w:uiPriority w:val="99"/>
    <w:unhideWhenUsed/>
    <w:rsid w:val="00223738"/>
    <w:pPr>
      <w:tabs>
        <w:tab w:val="center" w:pos="4536"/>
        <w:tab w:val="right" w:pos="9072"/>
      </w:tabs>
      <w:spacing w:after="0" w:line="240" w:lineRule="auto"/>
    </w:pPr>
    <w:rPr>
      <w:rFonts w:eastAsia="Times New Roman" w:cs="Times New Roman"/>
    </w:rPr>
  </w:style>
  <w:style w:type="character" w:customStyle="1" w:styleId="StopkaZnak">
    <w:name w:val="Stopka Znak"/>
    <w:basedOn w:val="Domylnaczcionkaakapitu"/>
    <w:link w:val="Stopka"/>
    <w:uiPriority w:val="99"/>
    <w:rsid w:val="00223738"/>
    <w:rPr>
      <w:rFonts w:eastAsia="Times New Roman" w:cs="Times New Roman"/>
    </w:rPr>
  </w:style>
  <w:style w:type="paragraph" w:customStyle="1" w:styleId="Tekstpodstawowy22">
    <w:name w:val="Tekst podstawowy 22"/>
    <w:basedOn w:val="Normalny"/>
    <w:rsid w:val="00223738"/>
    <w:pPr>
      <w:suppressAutoHyphens/>
      <w:spacing w:after="120" w:line="480" w:lineRule="auto"/>
    </w:pPr>
    <w:rPr>
      <w:rFonts w:ascii="Calibri" w:eastAsia="Times New Roman" w:hAnsi="Calibri" w:cs="Calibri"/>
      <w:lang w:eastAsia="ar-SA"/>
    </w:rPr>
  </w:style>
  <w:style w:type="paragraph" w:styleId="Spistreci1">
    <w:name w:val="toc 1"/>
    <w:basedOn w:val="Normalny"/>
    <w:next w:val="Normalny"/>
    <w:autoRedefine/>
    <w:uiPriority w:val="39"/>
    <w:unhideWhenUsed/>
    <w:rsid w:val="00223738"/>
    <w:pPr>
      <w:spacing w:before="120" w:after="120"/>
    </w:pPr>
    <w:rPr>
      <w:b/>
      <w:bCs/>
      <w:caps/>
      <w:sz w:val="20"/>
      <w:szCs w:val="20"/>
    </w:rPr>
  </w:style>
  <w:style w:type="paragraph" w:styleId="Spistreci2">
    <w:name w:val="toc 2"/>
    <w:basedOn w:val="Normalny"/>
    <w:next w:val="Normalny"/>
    <w:autoRedefine/>
    <w:uiPriority w:val="39"/>
    <w:unhideWhenUsed/>
    <w:rsid w:val="00223738"/>
    <w:pPr>
      <w:spacing w:after="0"/>
      <w:ind w:left="220"/>
    </w:pPr>
    <w:rPr>
      <w:smallCaps/>
      <w:sz w:val="20"/>
      <w:szCs w:val="20"/>
    </w:rPr>
  </w:style>
  <w:style w:type="paragraph" w:styleId="Spisilustracji">
    <w:name w:val="table of figures"/>
    <w:basedOn w:val="Normalny"/>
    <w:next w:val="Normalny"/>
    <w:uiPriority w:val="99"/>
    <w:unhideWhenUsed/>
    <w:rsid w:val="00223738"/>
    <w:pPr>
      <w:spacing w:after="0"/>
      <w:ind w:left="440" w:hanging="440"/>
    </w:pPr>
    <w:rPr>
      <w:smallCaps/>
      <w:sz w:val="20"/>
      <w:szCs w:val="20"/>
    </w:rPr>
  </w:style>
  <w:style w:type="character" w:styleId="Odwoaniedokomentarza">
    <w:name w:val="annotation reference"/>
    <w:uiPriority w:val="99"/>
    <w:semiHidden/>
    <w:unhideWhenUsed/>
    <w:rsid w:val="00190047"/>
    <w:rPr>
      <w:sz w:val="16"/>
      <w:szCs w:val="16"/>
    </w:rPr>
  </w:style>
  <w:style w:type="paragraph" w:customStyle="1" w:styleId="Style4">
    <w:name w:val="Style4"/>
    <w:basedOn w:val="Normalny"/>
    <w:uiPriority w:val="99"/>
    <w:rsid w:val="0035051B"/>
    <w:pPr>
      <w:widowControl w:val="0"/>
      <w:autoSpaceDE w:val="0"/>
      <w:autoSpaceDN w:val="0"/>
      <w:adjustRightInd w:val="0"/>
      <w:spacing w:after="0" w:line="259" w:lineRule="exact"/>
      <w:jc w:val="center"/>
    </w:pPr>
    <w:rPr>
      <w:rFonts w:ascii="Arial" w:eastAsiaTheme="minorEastAsia" w:hAnsi="Arial" w:cs="Arial"/>
      <w:sz w:val="24"/>
      <w:szCs w:val="24"/>
      <w:lang w:eastAsia="pl-PL"/>
    </w:rPr>
  </w:style>
  <w:style w:type="character" w:customStyle="1" w:styleId="FontStyle13">
    <w:name w:val="Font Style13"/>
    <w:basedOn w:val="Domylnaczcionkaakapitu"/>
    <w:uiPriority w:val="99"/>
    <w:rsid w:val="0035051B"/>
    <w:rPr>
      <w:rFonts w:ascii="Arial" w:hAnsi="Arial" w:cs="Arial"/>
      <w:color w:val="000000"/>
      <w:sz w:val="20"/>
      <w:szCs w:val="20"/>
    </w:rPr>
  </w:style>
  <w:style w:type="paragraph" w:customStyle="1" w:styleId="Standard">
    <w:name w:val="Standard"/>
    <w:qFormat/>
    <w:rsid w:val="00704201"/>
    <w:pPr>
      <w:suppressAutoHyphens/>
      <w:autoSpaceDN w:val="0"/>
      <w:spacing w:before="200" w:after="200" w:line="276" w:lineRule="auto"/>
      <w:jc w:val="both"/>
      <w:textAlignment w:val="baseline"/>
    </w:pPr>
    <w:rPr>
      <w:rFonts w:ascii="Calibri" w:eastAsia="Times New Roman" w:hAnsi="Calibri" w:cs="Times New Roman"/>
      <w:kern w:val="3"/>
      <w:sz w:val="20"/>
      <w:szCs w:val="20"/>
    </w:rPr>
  </w:style>
  <w:style w:type="numbering" w:customStyle="1" w:styleId="WWNum19">
    <w:name w:val="WWNum19"/>
    <w:basedOn w:val="Bezlisty"/>
    <w:rsid w:val="00704201"/>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1306</Words>
  <Characters>7842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Drzewiecka</dc:creator>
  <cp:keywords/>
  <dc:description/>
  <cp:lastModifiedBy>Gmina Słubice</cp:lastModifiedBy>
  <cp:revision>2</cp:revision>
  <dcterms:created xsi:type="dcterms:W3CDTF">2025-10-30T09:23:00Z</dcterms:created>
  <dcterms:modified xsi:type="dcterms:W3CDTF">2025-10-30T09:23:00Z</dcterms:modified>
</cp:coreProperties>
</file>