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A4" w:rsidRPr="00891BA4" w:rsidRDefault="00891BA4" w:rsidP="00891BA4">
      <w:pPr>
        <w:jc w:val="center"/>
        <w:outlineLvl w:val="0"/>
        <w:rPr>
          <w:b/>
          <w:sz w:val="28"/>
          <w:szCs w:val="28"/>
        </w:rPr>
      </w:pPr>
      <w:r w:rsidRPr="00891BA4">
        <w:rPr>
          <w:b/>
          <w:sz w:val="28"/>
          <w:szCs w:val="28"/>
        </w:rPr>
        <w:t xml:space="preserve">Zarządzenie Nr </w:t>
      </w:r>
      <w:r w:rsidR="0086495B">
        <w:rPr>
          <w:b/>
          <w:sz w:val="28"/>
          <w:szCs w:val="28"/>
        </w:rPr>
        <w:t>0050.22.2018</w:t>
      </w:r>
    </w:p>
    <w:p w:rsidR="00891BA4" w:rsidRPr="00891BA4" w:rsidRDefault="00891BA4" w:rsidP="00891BA4">
      <w:pPr>
        <w:jc w:val="center"/>
        <w:outlineLvl w:val="0"/>
        <w:rPr>
          <w:b/>
          <w:sz w:val="28"/>
          <w:szCs w:val="28"/>
        </w:rPr>
      </w:pPr>
      <w:r w:rsidRPr="00891BA4">
        <w:rPr>
          <w:b/>
          <w:sz w:val="28"/>
          <w:szCs w:val="28"/>
        </w:rPr>
        <w:t>Wójta Gminy Słubice</w:t>
      </w:r>
    </w:p>
    <w:p w:rsidR="00891BA4" w:rsidRPr="00891BA4" w:rsidRDefault="00891BA4" w:rsidP="00891BA4">
      <w:pPr>
        <w:jc w:val="center"/>
        <w:outlineLvl w:val="0"/>
        <w:rPr>
          <w:b/>
          <w:sz w:val="28"/>
          <w:szCs w:val="28"/>
        </w:rPr>
      </w:pPr>
      <w:r w:rsidRPr="00891BA4">
        <w:rPr>
          <w:b/>
          <w:sz w:val="28"/>
          <w:szCs w:val="28"/>
        </w:rPr>
        <w:t xml:space="preserve">z dnia </w:t>
      </w:r>
      <w:r w:rsidR="0086495B">
        <w:rPr>
          <w:b/>
          <w:sz w:val="28"/>
          <w:szCs w:val="28"/>
        </w:rPr>
        <w:t>23 kwietnia 2018 r.</w:t>
      </w:r>
    </w:p>
    <w:p w:rsidR="00891BA4" w:rsidRPr="00891BA4" w:rsidRDefault="00891BA4" w:rsidP="00891BA4">
      <w:pPr>
        <w:jc w:val="center"/>
        <w:rPr>
          <w:b/>
          <w:sz w:val="28"/>
          <w:szCs w:val="28"/>
        </w:rPr>
      </w:pPr>
    </w:p>
    <w:p w:rsidR="00891BA4" w:rsidRPr="00891BA4" w:rsidRDefault="00891BA4" w:rsidP="00891BA4">
      <w:pPr>
        <w:jc w:val="center"/>
        <w:rPr>
          <w:b/>
          <w:sz w:val="28"/>
          <w:szCs w:val="28"/>
        </w:rPr>
      </w:pPr>
    </w:p>
    <w:p w:rsidR="00891BA4" w:rsidRPr="00891BA4" w:rsidRDefault="00BF5CE5" w:rsidP="00935D5E">
      <w:pPr>
        <w:ind w:left="1276" w:hanging="1276"/>
        <w:rPr>
          <w:b/>
          <w:sz w:val="28"/>
          <w:szCs w:val="28"/>
        </w:rPr>
      </w:pPr>
      <w:r w:rsidRPr="00BF5CE5">
        <w:rPr>
          <w:sz w:val="28"/>
          <w:szCs w:val="28"/>
          <w:u w:val="single"/>
        </w:rPr>
        <w:t>w sprawi</w:t>
      </w:r>
      <w:r w:rsidRPr="00BF5CE5">
        <w:rPr>
          <w:sz w:val="28"/>
          <w:szCs w:val="28"/>
        </w:rPr>
        <w:t>e:</w:t>
      </w:r>
      <w:r>
        <w:rPr>
          <w:b/>
          <w:sz w:val="28"/>
          <w:szCs w:val="28"/>
        </w:rPr>
        <w:t xml:space="preserve"> wprowadzenia zasad (polityki) rachunkowości </w:t>
      </w:r>
    </w:p>
    <w:p w:rsidR="00891BA4" w:rsidRPr="00935D5E" w:rsidRDefault="00891BA4" w:rsidP="00891BA4">
      <w:pPr>
        <w:jc w:val="both"/>
        <w:rPr>
          <w:sz w:val="40"/>
          <w:szCs w:val="40"/>
        </w:rPr>
      </w:pPr>
      <w:r w:rsidRPr="00935D5E">
        <w:rPr>
          <w:sz w:val="40"/>
          <w:szCs w:val="40"/>
        </w:rPr>
        <w:t xml:space="preserve">         </w:t>
      </w:r>
    </w:p>
    <w:p w:rsidR="00BF5CE5" w:rsidRPr="00BF5CE5" w:rsidRDefault="00891BA4" w:rsidP="00891BA4">
      <w:pPr>
        <w:jc w:val="both"/>
        <w:rPr>
          <w:color w:val="FF0000"/>
          <w:sz w:val="28"/>
          <w:szCs w:val="28"/>
        </w:rPr>
      </w:pPr>
      <w:r w:rsidRPr="00BF5CE5">
        <w:rPr>
          <w:sz w:val="28"/>
          <w:szCs w:val="28"/>
        </w:rPr>
        <w:t xml:space="preserve">           Na podstawie art. </w:t>
      </w:r>
      <w:r w:rsidR="00BF5CE5" w:rsidRPr="00BF5CE5">
        <w:rPr>
          <w:sz w:val="28"/>
          <w:szCs w:val="28"/>
        </w:rPr>
        <w:t>10 ust. 1 pkt 2, 3 i 4 ustawy z dnia 29 września 1994 r. o rachunkowości (</w:t>
      </w:r>
      <w:proofErr w:type="spellStart"/>
      <w:r w:rsidR="00BF5CE5" w:rsidRPr="00BF5CE5">
        <w:rPr>
          <w:sz w:val="28"/>
          <w:szCs w:val="28"/>
        </w:rPr>
        <w:t>t.j</w:t>
      </w:r>
      <w:proofErr w:type="spellEnd"/>
      <w:r w:rsidR="00BF5CE5" w:rsidRPr="00BF5CE5">
        <w:rPr>
          <w:sz w:val="28"/>
          <w:szCs w:val="28"/>
        </w:rPr>
        <w:t>. Dz. U.  z 2018 r., poz. 3</w:t>
      </w:r>
      <w:r w:rsidR="00286AF0">
        <w:rPr>
          <w:sz w:val="28"/>
          <w:szCs w:val="28"/>
        </w:rPr>
        <w:t>95</w:t>
      </w:r>
      <w:r w:rsidR="00BF5CE5" w:rsidRPr="00BF5CE5">
        <w:rPr>
          <w:sz w:val="28"/>
          <w:szCs w:val="28"/>
        </w:rPr>
        <w:t xml:space="preserve"> ze zm.</w:t>
      </w:r>
      <w:r w:rsidR="008A3077">
        <w:rPr>
          <w:sz w:val="28"/>
          <w:szCs w:val="28"/>
          <w:vertAlign w:val="superscript"/>
        </w:rPr>
        <w:t>1</w:t>
      </w:r>
      <w:r w:rsidR="00BF5CE5" w:rsidRPr="00BF5CE5">
        <w:rPr>
          <w:sz w:val="28"/>
          <w:szCs w:val="28"/>
        </w:rPr>
        <w:t>) i szczegó</w:t>
      </w:r>
      <w:r w:rsidR="00514817">
        <w:rPr>
          <w:sz w:val="28"/>
          <w:szCs w:val="28"/>
        </w:rPr>
        <w:t>lnych</w:t>
      </w:r>
      <w:r w:rsidR="00BF5CE5" w:rsidRPr="00BF5CE5">
        <w:rPr>
          <w:sz w:val="28"/>
          <w:szCs w:val="28"/>
        </w:rPr>
        <w:t xml:space="preserve"> ustaleń zawartych w art. 40 ustawy z dnia 27 sierpnia 2</w:t>
      </w:r>
      <w:bookmarkStart w:id="0" w:name="_GoBack"/>
      <w:r w:rsidR="00BF5CE5" w:rsidRPr="00BF5CE5">
        <w:rPr>
          <w:sz w:val="28"/>
          <w:szCs w:val="28"/>
        </w:rPr>
        <w:t>0</w:t>
      </w:r>
      <w:bookmarkEnd w:id="0"/>
      <w:r w:rsidR="00BF5CE5" w:rsidRPr="00BF5CE5">
        <w:rPr>
          <w:sz w:val="28"/>
          <w:szCs w:val="28"/>
        </w:rPr>
        <w:t>09 r. o finansach publicznych (</w:t>
      </w:r>
      <w:proofErr w:type="spellStart"/>
      <w:r w:rsidR="00BF5CE5" w:rsidRPr="00BF5CE5">
        <w:rPr>
          <w:sz w:val="28"/>
          <w:szCs w:val="28"/>
        </w:rPr>
        <w:t>t.j</w:t>
      </w:r>
      <w:proofErr w:type="spellEnd"/>
      <w:r w:rsidR="00BF5CE5" w:rsidRPr="00BF5CE5">
        <w:rPr>
          <w:sz w:val="28"/>
          <w:szCs w:val="28"/>
        </w:rPr>
        <w:t>.</w:t>
      </w:r>
      <w:r w:rsidR="00514817">
        <w:rPr>
          <w:sz w:val="28"/>
          <w:szCs w:val="28"/>
        </w:rPr>
        <w:t> </w:t>
      </w:r>
      <w:r w:rsidR="00570414">
        <w:rPr>
          <w:sz w:val="28"/>
          <w:szCs w:val="28"/>
        </w:rPr>
        <w:t>Dz. U. z 2017 r., poz. 2077), r</w:t>
      </w:r>
      <w:r w:rsidR="00BF5CE5" w:rsidRPr="00BF5CE5">
        <w:rPr>
          <w:sz w:val="28"/>
          <w:szCs w:val="28"/>
        </w:rPr>
        <w:t>ozporządzenia Ministra Rozwoju i Finansów z dnia 13 września 2017 r</w:t>
      </w:r>
      <w:r w:rsidR="00BF5CE5" w:rsidRPr="00935D5E">
        <w:rPr>
          <w:sz w:val="28"/>
          <w:szCs w:val="28"/>
        </w:rPr>
        <w:t>.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w:t>
      </w:r>
      <w:r w:rsidR="00570414">
        <w:rPr>
          <w:sz w:val="28"/>
          <w:szCs w:val="28"/>
        </w:rPr>
        <w:t xml:space="preserve"> U. z 2017 r., poz. 1911) oraz r</w:t>
      </w:r>
      <w:r w:rsidR="00BF5CE5" w:rsidRPr="00935D5E">
        <w:rPr>
          <w:sz w:val="28"/>
          <w:szCs w:val="28"/>
        </w:rPr>
        <w:t xml:space="preserve">ozporządzenia Ministra Finansów z dnia 25 października 2010 r. w sprawie zasad rachunkowości oraz planów kont dla organów podatkowych jednostek samorządu terytorialnego (Dz. U. Nr 208, poz. 1375) </w:t>
      </w:r>
      <w:r w:rsidR="00BF5CE5" w:rsidRPr="00935D5E">
        <w:rPr>
          <w:b/>
          <w:spacing w:val="-2"/>
          <w:sz w:val="28"/>
          <w:szCs w:val="28"/>
        </w:rPr>
        <w:t>zarządza się, co następuje:</w:t>
      </w:r>
    </w:p>
    <w:p w:rsidR="00BF5CE5" w:rsidRDefault="00BF5CE5" w:rsidP="00891BA4">
      <w:pPr>
        <w:jc w:val="both"/>
        <w:rPr>
          <w:color w:val="FF0000"/>
          <w:sz w:val="28"/>
          <w:szCs w:val="28"/>
        </w:rPr>
      </w:pPr>
    </w:p>
    <w:p w:rsidR="00891BA4" w:rsidRPr="00935D5E" w:rsidRDefault="00891BA4" w:rsidP="00891BA4">
      <w:pPr>
        <w:jc w:val="center"/>
        <w:rPr>
          <w:b/>
          <w:sz w:val="28"/>
          <w:szCs w:val="28"/>
        </w:rPr>
      </w:pPr>
      <w:r w:rsidRPr="00935D5E">
        <w:rPr>
          <w:b/>
          <w:sz w:val="28"/>
          <w:szCs w:val="28"/>
        </w:rPr>
        <w:t>§ 1</w:t>
      </w:r>
    </w:p>
    <w:p w:rsidR="00891BA4" w:rsidRPr="00935D5E" w:rsidRDefault="00891BA4" w:rsidP="00891BA4">
      <w:pPr>
        <w:jc w:val="center"/>
        <w:rPr>
          <w:b/>
          <w:sz w:val="28"/>
          <w:szCs w:val="28"/>
        </w:rPr>
      </w:pPr>
    </w:p>
    <w:p w:rsidR="00891BA4" w:rsidRPr="00935D5E" w:rsidRDefault="00935D5E" w:rsidP="002D5699">
      <w:pPr>
        <w:tabs>
          <w:tab w:val="left" w:pos="0"/>
        </w:tabs>
        <w:jc w:val="both"/>
        <w:rPr>
          <w:sz w:val="28"/>
          <w:szCs w:val="28"/>
        </w:rPr>
      </w:pPr>
      <w:r w:rsidRPr="00935D5E">
        <w:rPr>
          <w:sz w:val="28"/>
          <w:szCs w:val="28"/>
        </w:rPr>
        <w:t xml:space="preserve">Wprowadza się zasady (politykę) rachunkowości w </w:t>
      </w:r>
      <w:r w:rsidR="002D5699">
        <w:rPr>
          <w:sz w:val="28"/>
          <w:szCs w:val="28"/>
        </w:rPr>
        <w:t xml:space="preserve">Gminie Słubice i </w:t>
      </w:r>
      <w:r w:rsidRPr="00935D5E">
        <w:rPr>
          <w:sz w:val="28"/>
          <w:szCs w:val="28"/>
        </w:rPr>
        <w:t>Urzędzie Gminy Słubice:</w:t>
      </w:r>
    </w:p>
    <w:p w:rsidR="00935D5E" w:rsidRPr="00935D5E" w:rsidRDefault="00935D5E" w:rsidP="00891BA4">
      <w:pPr>
        <w:tabs>
          <w:tab w:val="left" w:pos="360"/>
        </w:tabs>
        <w:ind w:left="720" w:hanging="720"/>
        <w:jc w:val="both"/>
        <w:rPr>
          <w:sz w:val="28"/>
          <w:szCs w:val="28"/>
        </w:rPr>
      </w:pPr>
    </w:p>
    <w:p w:rsidR="00935D5E" w:rsidRPr="00570414" w:rsidRDefault="00935D5E" w:rsidP="00570414">
      <w:pPr>
        <w:pStyle w:val="Akapitzlist"/>
        <w:numPr>
          <w:ilvl w:val="0"/>
          <w:numId w:val="2"/>
        </w:numPr>
        <w:tabs>
          <w:tab w:val="left" w:pos="426"/>
        </w:tabs>
        <w:ind w:left="426" w:hanging="426"/>
        <w:jc w:val="both"/>
        <w:rPr>
          <w:sz w:val="28"/>
          <w:szCs w:val="28"/>
        </w:rPr>
      </w:pPr>
      <w:r w:rsidRPr="00570414">
        <w:rPr>
          <w:sz w:val="28"/>
          <w:szCs w:val="28"/>
        </w:rPr>
        <w:t>Ogólne zasady prowadzenia ksiąg rachunkowych określa załącznik Nr 1 do zarządzenia.</w:t>
      </w:r>
    </w:p>
    <w:p w:rsidR="00935D5E" w:rsidRDefault="00935D5E" w:rsidP="003F163F">
      <w:pPr>
        <w:pStyle w:val="Akapitzlist"/>
        <w:numPr>
          <w:ilvl w:val="0"/>
          <w:numId w:val="2"/>
        </w:numPr>
        <w:tabs>
          <w:tab w:val="left" w:pos="426"/>
        </w:tabs>
        <w:ind w:left="426" w:hanging="426"/>
        <w:jc w:val="both"/>
        <w:rPr>
          <w:sz w:val="28"/>
          <w:szCs w:val="28"/>
        </w:rPr>
      </w:pPr>
      <w:r>
        <w:rPr>
          <w:sz w:val="28"/>
          <w:szCs w:val="28"/>
        </w:rPr>
        <w:t>Wykaz kont dla b</w:t>
      </w:r>
      <w:r w:rsidR="00027664">
        <w:rPr>
          <w:sz w:val="28"/>
          <w:szCs w:val="28"/>
        </w:rPr>
        <w:t>udżetu Gminy Słubice oraz zasad funkcjonowania kont stanowi załącznik Nr 2 do zarządzenia.</w:t>
      </w:r>
    </w:p>
    <w:p w:rsidR="00027664" w:rsidRDefault="00027664" w:rsidP="003F163F">
      <w:pPr>
        <w:pStyle w:val="Akapitzlist"/>
        <w:numPr>
          <w:ilvl w:val="0"/>
          <w:numId w:val="2"/>
        </w:numPr>
        <w:tabs>
          <w:tab w:val="left" w:pos="426"/>
        </w:tabs>
        <w:ind w:left="426" w:hanging="426"/>
        <w:jc w:val="both"/>
        <w:rPr>
          <w:sz w:val="28"/>
          <w:szCs w:val="28"/>
        </w:rPr>
      </w:pPr>
      <w:r>
        <w:rPr>
          <w:sz w:val="28"/>
          <w:szCs w:val="28"/>
        </w:rPr>
        <w:t>Wykaz kont dla jednostki budżetowej Urzędu Gminy Słubice wraz z zasadami funkcjonowania kont stanowi załącznik Nr 3 do zarządzenia.</w:t>
      </w:r>
    </w:p>
    <w:p w:rsidR="00027664" w:rsidRDefault="00027664" w:rsidP="003F163F">
      <w:pPr>
        <w:pStyle w:val="Akapitzlist"/>
        <w:numPr>
          <w:ilvl w:val="0"/>
          <w:numId w:val="2"/>
        </w:numPr>
        <w:tabs>
          <w:tab w:val="left" w:pos="426"/>
        </w:tabs>
        <w:ind w:left="426" w:hanging="426"/>
        <w:jc w:val="both"/>
        <w:rPr>
          <w:sz w:val="28"/>
          <w:szCs w:val="28"/>
        </w:rPr>
      </w:pPr>
      <w:r>
        <w:rPr>
          <w:sz w:val="28"/>
          <w:szCs w:val="28"/>
        </w:rPr>
        <w:t>Metody wyceny aktywów i pasywów oraz ustalanie wyniku finansowego określa załącznik Nr 4 do zarządzenia.</w:t>
      </w:r>
    </w:p>
    <w:p w:rsidR="00027664" w:rsidRDefault="00027664" w:rsidP="003F163F">
      <w:pPr>
        <w:pStyle w:val="Akapitzlist"/>
        <w:numPr>
          <w:ilvl w:val="0"/>
          <w:numId w:val="2"/>
        </w:numPr>
        <w:tabs>
          <w:tab w:val="left" w:pos="426"/>
        </w:tabs>
        <w:ind w:left="426" w:hanging="426"/>
        <w:jc w:val="both"/>
        <w:rPr>
          <w:sz w:val="28"/>
          <w:szCs w:val="28"/>
        </w:rPr>
      </w:pPr>
      <w:r>
        <w:rPr>
          <w:sz w:val="28"/>
          <w:szCs w:val="28"/>
        </w:rPr>
        <w:t xml:space="preserve">Wykaz urządzeń analitycznych do </w:t>
      </w:r>
      <w:r w:rsidR="00514817">
        <w:rPr>
          <w:sz w:val="28"/>
          <w:szCs w:val="28"/>
        </w:rPr>
        <w:t>kont syntetycznych dla budżetu G</w:t>
      </w:r>
      <w:r>
        <w:rPr>
          <w:sz w:val="28"/>
          <w:szCs w:val="28"/>
        </w:rPr>
        <w:t>miny Słubice określa załącznik Nr 5 do zarządzenia.</w:t>
      </w:r>
    </w:p>
    <w:p w:rsidR="00027664" w:rsidRDefault="00027664" w:rsidP="003F163F">
      <w:pPr>
        <w:pStyle w:val="Akapitzlist"/>
        <w:numPr>
          <w:ilvl w:val="0"/>
          <w:numId w:val="2"/>
        </w:numPr>
        <w:tabs>
          <w:tab w:val="left" w:pos="426"/>
        </w:tabs>
        <w:ind w:left="426" w:hanging="426"/>
        <w:jc w:val="both"/>
        <w:rPr>
          <w:sz w:val="28"/>
          <w:szCs w:val="28"/>
        </w:rPr>
      </w:pPr>
      <w:r>
        <w:rPr>
          <w:sz w:val="28"/>
          <w:szCs w:val="28"/>
        </w:rPr>
        <w:t xml:space="preserve">Wykaz urządzeń analitycznych do kont syntetycznych dla jednostki budżetowej, określa załącznik Nr 6 do zarządzenia. </w:t>
      </w:r>
    </w:p>
    <w:p w:rsidR="00027664" w:rsidRDefault="00027664" w:rsidP="003F163F">
      <w:pPr>
        <w:pStyle w:val="Akapitzlist"/>
        <w:numPr>
          <w:ilvl w:val="0"/>
          <w:numId w:val="2"/>
        </w:numPr>
        <w:tabs>
          <w:tab w:val="left" w:pos="426"/>
        </w:tabs>
        <w:ind w:left="426" w:hanging="426"/>
        <w:jc w:val="both"/>
        <w:rPr>
          <w:sz w:val="28"/>
          <w:szCs w:val="28"/>
        </w:rPr>
      </w:pPr>
      <w:r>
        <w:rPr>
          <w:sz w:val="28"/>
          <w:szCs w:val="28"/>
        </w:rPr>
        <w:t>Wykaz programów komputerowych, sposób ich działania oraz system służący ochronie danych i ich zbiorów określa załącznik Nr 7 do zarządzenia.</w:t>
      </w:r>
    </w:p>
    <w:p w:rsidR="00820C2D" w:rsidRPr="00820C2D" w:rsidRDefault="00756D65" w:rsidP="00820C2D">
      <w:pPr>
        <w:pStyle w:val="Akapitzlist"/>
        <w:numPr>
          <w:ilvl w:val="0"/>
          <w:numId w:val="2"/>
        </w:numPr>
        <w:tabs>
          <w:tab w:val="left" w:pos="426"/>
        </w:tabs>
        <w:ind w:left="426" w:hanging="426"/>
        <w:jc w:val="both"/>
        <w:rPr>
          <w:sz w:val="28"/>
          <w:szCs w:val="28"/>
        </w:rPr>
      </w:pPr>
      <w:r w:rsidRPr="00756D65">
        <w:rPr>
          <w:sz w:val="28"/>
          <w:szCs w:val="28"/>
        </w:rPr>
        <w:t>Ochrona danych</w:t>
      </w:r>
      <w:r w:rsidR="00737AA7">
        <w:rPr>
          <w:sz w:val="28"/>
          <w:szCs w:val="28"/>
        </w:rPr>
        <w:t xml:space="preserve"> w jednostce stanowi załącznik N</w:t>
      </w:r>
      <w:r w:rsidRPr="00756D65">
        <w:rPr>
          <w:sz w:val="28"/>
          <w:szCs w:val="28"/>
        </w:rPr>
        <w:t>r 8 do zarządzenia</w:t>
      </w:r>
      <w:r>
        <w:rPr>
          <w:sz w:val="28"/>
          <w:szCs w:val="28"/>
        </w:rPr>
        <w:t>.</w:t>
      </w:r>
    </w:p>
    <w:p w:rsidR="00FE77BF" w:rsidRDefault="00FE77BF" w:rsidP="008A3077">
      <w:pPr>
        <w:jc w:val="center"/>
      </w:pPr>
    </w:p>
    <w:p w:rsidR="008A3077" w:rsidRDefault="00D90EC3" w:rsidP="008A3077">
      <w:pPr>
        <w:jc w:val="center"/>
      </w:pPr>
      <w:r>
        <w:pict>
          <v:rect id="_x0000_i1025" style="width:136.05pt;height:.5pt" o:hrpct="300" o:hrstd="t" o:hrnoshade="t" o:hr="t" fillcolor="black" stroked="f"/>
        </w:pict>
      </w:r>
    </w:p>
    <w:p w:rsidR="008A3077" w:rsidRDefault="008A3077" w:rsidP="008A3077">
      <w:pPr>
        <w:jc w:val="both"/>
        <w:rPr>
          <w:sz w:val="16"/>
          <w:szCs w:val="16"/>
        </w:rPr>
      </w:pPr>
      <w:r>
        <w:rPr>
          <w:sz w:val="16"/>
          <w:szCs w:val="16"/>
          <w:vertAlign w:val="superscript"/>
        </w:rPr>
        <w:t xml:space="preserve">1 </w:t>
      </w:r>
      <w:r w:rsidRPr="00217F27">
        <w:rPr>
          <w:sz w:val="16"/>
          <w:szCs w:val="16"/>
        </w:rPr>
        <w:t>Zmiany ustawy opublikowano w Dz. U. z 201</w:t>
      </w:r>
      <w:r>
        <w:rPr>
          <w:sz w:val="16"/>
          <w:szCs w:val="16"/>
        </w:rPr>
        <w:t>8</w:t>
      </w:r>
      <w:r w:rsidRPr="00217F27">
        <w:rPr>
          <w:sz w:val="16"/>
          <w:szCs w:val="16"/>
        </w:rPr>
        <w:t xml:space="preserve"> r.,  poz. </w:t>
      </w:r>
      <w:r>
        <w:rPr>
          <w:sz w:val="16"/>
          <w:szCs w:val="16"/>
        </w:rPr>
        <w:t>398</w:t>
      </w:r>
      <w:r w:rsidRPr="00217F27">
        <w:rPr>
          <w:sz w:val="16"/>
          <w:szCs w:val="16"/>
        </w:rPr>
        <w:t>.</w:t>
      </w:r>
    </w:p>
    <w:p w:rsidR="00891BA4" w:rsidRPr="003F163F" w:rsidRDefault="00891BA4" w:rsidP="008A3077">
      <w:pPr>
        <w:jc w:val="center"/>
        <w:rPr>
          <w:b/>
          <w:sz w:val="28"/>
          <w:szCs w:val="28"/>
        </w:rPr>
      </w:pPr>
      <w:r w:rsidRPr="003F163F">
        <w:rPr>
          <w:b/>
          <w:sz w:val="28"/>
          <w:szCs w:val="28"/>
        </w:rPr>
        <w:lastRenderedPageBreak/>
        <w:t>§ 2</w:t>
      </w:r>
    </w:p>
    <w:p w:rsidR="00891BA4" w:rsidRPr="003F163F" w:rsidRDefault="00891BA4" w:rsidP="00891BA4">
      <w:pPr>
        <w:jc w:val="center"/>
        <w:rPr>
          <w:sz w:val="28"/>
          <w:szCs w:val="28"/>
        </w:rPr>
      </w:pPr>
    </w:p>
    <w:p w:rsidR="00027664" w:rsidRPr="003F163F" w:rsidRDefault="00027664" w:rsidP="003F163F">
      <w:pPr>
        <w:pStyle w:val="Akapitzlist"/>
        <w:numPr>
          <w:ilvl w:val="0"/>
          <w:numId w:val="3"/>
        </w:numPr>
        <w:ind w:left="426" w:hanging="426"/>
        <w:jc w:val="both"/>
        <w:outlineLvl w:val="0"/>
        <w:rPr>
          <w:sz w:val="28"/>
          <w:szCs w:val="28"/>
        </w:rPr>
      </w:pPr>
      <w:r w:rsidRPr="003F163F">
        <w:rPr>
          <w:sz w:val="28"/>
          <w:szCs w:val="28"/>
        </w:rPr>
        <w:t xml:space="preserve">Konta wykazane w załącznikach Nr 1 i 2 </w:t>
      </w:r>
      <w:r w:rsidR="00514817">
        <w:rPr>
          <w:sz w:val="28"/>
          <w:szCs w:val="28"/>
        </w:rPr>
        <w:t>funkcjonują</w:t>
      </w:r>
      <w:r w:rsidR="00570414">
        <w:rPr>
          <w:sz w:val="28"/>
          <w:szCs w:val="28"/>
        </w:rPr>
        <w:t xml:space="preserve"> w/g zasad zawartych w r</w:t>
      </w:r>
      <w:r w:rsidRPr="003F163F">
        <w:rPr>
          <w:sz w:val="28"/>
          <w:szCs w:val="28"/>
        </w:rPr>
        <w:t>ozporządzeniu Ministra Rozwoju i Finansów z dnia 13 września 2017 r. i stanowią wykaz kont syntetycznych.</w:t>
      </w:r>
    </w:p>
    <w:p w:rsidR="00027664" w:rsidRPr="003F163F" w:rsidRDefault="00027664" w:rsidP="003F163F">
      <w:pPr>
        <w:pStyle w:val="Akapitzlist"/>
        <w:numPr>
          <w:ilvl w:val="0"/>
          <w:numId w:val="3"/>
        </w:numPr>
        <w:ind w:left="426" w:hanging="426"/>
        <w:jc w:val="both"/>
        <w:outlineLvl w:val="0"/>
        <w:rPr>
          <w:sz w:val="28"/>
          <w:szCs w:val="28"/>
        </w:rPr>
      </w:pPr>
      <w:r w:rsidRPr="003F163F">
        <w:rPr>
          <w:sz w:val="28"/>
          <w:szCs w:val="28"/>
        </w:rPr>
        <w:t xml:space="preserve">Wykaz kont może być uzupełniony w miarę potrzeby o właściwe konta </w:t>
      </w:r>
      <w:r w:rsidR="003F163F" w:rsidRPr="003F163F">
        <w:rPr>
          <w:sz w:val="28"/>
          <w:szCs w:val="28"/>
        </w:rPr>
        <w:t>planu kont dla budżetu gminy i jednostki budżetowej.</w:t>
      </w:r>
    </w:p>
    <w:p w:rsidR="00027664" w:rsidRDefault="00027664" w:rsidP="00891BA4">
      <w:pPr>
        <w:jc w:val="both"/>
        <w:outlineLvl w:val="0"/>
        <w:rPr>
          <w:color w:val="FF0000"/>
          <w:sz w:val="28"/>
          <w:szCs w:val="28"/>
        </w:rPr>
      </w:pPr>
    </w:p>
    <w:p w:rsidR="003F163F" w:rsidRPr="003F163F" w:rsidRDefault="003F163F" w:rsidP="003F163F">
      <w:pPr>
        <w:jc w:val="center"/>
        <w:rPr>
          <w:b/>
          <w:sz w:val="28"/>
          <w:szCs w:val="28"/>
        </w:rPr>
      </w:pPr>
      <w:r w:rsidRPr="003F163F">
        <w:rPr>
          <w:b/>
          <w:sz w:val="28"/>
          <w:szCs w:val="28"/>
        </w:rPr>
        <w:t xml:space="preserve">§ </w:t>
      </w:r>
      <w:r>
        <w:rPr>
          <w:b/>
          <w:sz w:val="28"/>
          <w:szCs w:val="28"/>
        </w:rPr>
        <w:t>3</w:t>
      </w:r>
    </w:p>
    <w:p w:rsidR="003F163F" w:rsidRPr="003F163F" w:rsidRDefault="003F163F" w:rsidP="003F163F">
      <w:pPr>
        <w:ind w:left="426" w:hanging="426"/>
        <w:jc w:val="center"/>
        <w:rPr>
          <w:sz w:val="28"/>
          <w:szCs w:val="28"/>
        </w:rPr>
      </w:pPr>
    </w:p>
    <w:p w:rsidR="00027664" w:rsidRDefault="003F163F" w:rsidP="003F163F">
      <w:pPr>
        <w:pStyle w:val="Akapitzlist"/>
        <w:numPr>
          <w:ilvl w:val="0"/>
          <w:numId w:val="4"/>
        </w:numPr>
        <w:ind w:left="426" w:hanging="426"/>
        <w:jc w:val="both"/>
        <w:outlineLvl w:val="0"/>
        <w:rPr>
          <w:sz w:val="28"/>
          <w:szCs w:val="28"/>
        </w:rPr>
      </w:pPr>
      <w:r>
        <w:rPr>
          <w:sz w:val="28"/>
          <w:szCs w:val="28"/>
        </w:rPr>
        <w:t xml:space="preserve">Niniejsze zasady (polityka) rachunkowości mają zastosowanie do projektów współfinansowanych środkami pochodzącymi z budżetu Unii Europejskiej oraz pochodzących ze źródeł zagranicznych niepodlegających zwrotowi. </w:t>
      </w:r>
    </w:p>
    <w:p w:rsidR="003F163F" w:rsidRPr="003F163F" w:rsidRDefault="003F163F" w:rsidP="003F163F">
      <w:pPr>
        <w:pStyle w:val="Akapitzlist"/>
        <w:numPr>
          <w:ilvl w:val="0"/>
          <w:numId w:val="4"/>
        </w:numPr>
        <w:ind w:left="426" w:hanging="426"/>
        <w:jc w:val="both"/>
        <w:outlineLvl w:val="0"/>
        <w:rPr>
          <w:sz w:val="28"/>
          <w:szCs w:val="28"/>
        </w:rPr>
      </w:pPr>
      <w:r>
        <w:rPr>
          <w:sz w:val="28"/>
          <w:szCs w:val="28"/>
        </w:rPr>
        <w:t>Ewidencja księgowa projektów prowadzona będzie w sposób umożliwiający identyfikację zadania.</w:t>
      </w:r>
    </w:p>
    <w:p w:rsidR="003F163F" w:rsidRDefault="003F163F" w:rsidP="003F163F">
      <w:pPr>
        <w:jc w:val="both"/>
        <w:outlineLvl w:val="0"/>
        <w:rPr>
          <w:sz w:val="28"/>
          <w:szCs w:val="28"/>
        </w:rPr>
      </w:pPr>
    </w:p>
    <w:p w:rsidR="003F163F" w:rsidRPr="003F163F" w:rsidRDefault="003F163F" w:rsidP="003F163F">
      <w:pPr>
        <w:jc w:val="center"/>
        <w:rPr>
          <w:b/>
          <w:sz w:val="28"/>
          <w:szCs w:val="28"/>
        </w:rPr>
      </w:pPr>
      <w:r w:rsidRPr="003F163F">
        <w:rPr>
          <w:b/>
          <w:sz w:val="28"/>
          <w:szCs w:val="28"/>
        </w:rPr>
        <w:t xml:space="preserve">§ </w:t>
      </w:r>
      <w:r>
        <w:rPr>
          <w:b/>
          <w:sz w:val="28"/>
          <w:szCs w:val="28"/>
        </w:rPr>
        <w:t>4</w:t>
      </w:r>
    </w:p>
    <w:p w:rsidR="003F163F" w:rsidRPr="003F163F" w:rsidRDefault="003F163F" w:rsidP="003F163F">
      <w:pPr>
        <w:ind w:left="426" w:hanging="426"/>
        <w:jc w:val="center"/>
        <w:rPr>
          <w:sz w:val="28"/>
          <w:szCs w:val="28"/>
        </w:rPr>
      </w:pPr>
    </w:p>
    <w:p w:rsidR="003F163F" w:rsidRDefault="003F163F" w:rsidP="003F163F">
      <w:pPr>
        <w:pStyle w:val="Akapitzlist"/>
        <w:numPr>
          <w:ilvl w:val="0"/>
          <w:numId w:val="5"/>
        </w:numPr>
        <w:ind w:left="426" w:hanging="426"/>
        <w:jc w:val="both"/>
        <w:outlineLvl w:val="0"/>
        <w:rPr>
          <w:sz w:val="28"/>
          <w:szCs w:val="28"/>
        </w:rPr>
      </w:pPr>
      <w:r>
        <w:rPr>
          <w:sz w:val="28"/>
          <w:szCs w:val="28"/>
        </w:rPr>
        <w:t>Zapasy materiałów:</w:t>
      </w:r>
    </w:p>
    <w:p w:rsidR="003F163F" w:rsidRDefault="003F163F" w:rsidP="003F163F">
      <w:pPr>
        <w:pStyle w:val="Akapitzlist"/>
        <w:numPr>
          <w:ilvl w:val="0"/>
          <w:numId w:val="6"/>
        </w:numPr>
        <w:ind w:left="851" w:hanging="425"/>
        <w:jc w:val="both"/>
        <w:outlineLvl w:val="0"/>
        <w:rPr>
          <w:sz w:val="28"/>
          <w:szCs w:val="28"/>
        </w:rPr>
      </w:pPr>
      <w:r>
        <w:rPr>
          <w:sz w:val="28"/>
          <w:szCs w:val="28"/>
        </w:rPr>
        <w:t>węgiel (</w:t>
      </w:r>
      <w:proofErr w:type="spellStart"/>
      <w:r w:rsidR="00BB17BD">
        <w:rPr>
          <w:sz w:val="28"/>
          <w:szCs w:val="28"/>
        </w:rPr>
        <w:t>ekogroszek</w:t>
      </w:r>
      <w:proofErr w:type="spellEnd"/>
      <w:r>
        <w:rPr>
          <w:sz w:val="28"/>
          <w:szCs w:val="28"/>
        </w:rPr>
        <w:t>)</w:t>
      </w:r>
    </w:p>
    <w:p w:rsidR="003F163F" w:rsidRDefault="003F163F" w:rsidP="003F163F">
      <w:pPr>
        <w:pStyle w:val="Akapitzlist"/>
        <w:numPr>
          <w:ilvl w:val="0"/>
          <w:numId w:val="6"/>
        </w:numPr>
        <w:ind w:left="851" w:hanging="425"/>
        <w:jc w:val="both"/>
        <w:outlineLvl w:val="0"/>
        <w:rPr>
          <w:sz w:val="28"/>
          <w:szCs w:val="28"/>
        </w:rPr>
      </w:pPr>
      <w:r>
        <w:rPr>
          <w:sz w:val="28"/>
          <w:szCs w:val="28"/>
        </w:rPr>
        <w:t>olej opałowy</w:t>
      </w:r>
    </w:p>
    <w:p w:rsidR="00514817" w:rsidRDefault="00BB17BD" w:rsidP="003F163F">
      <w:pPr>
        <w:pStyle w:val="Akapitzlist"/>
        <w:numPr>
          <w:ilvl w:val="0"/>
          <w:numId w:val="6"/>
        </w:numPr>
        <w:ind w:left="851" w:hanging="425"/>
        <w:jc w:val="both"/>
        <w:outlineLvl w:val="0"/>
        <w:rPr>
          <w:sz w:val="28"/>
          <w:szCs w:val="28"/>
        </w:rPr>
      </w:pPr>
      <w:proofErr w:type="spellStart"/>
      <w:r>
        <w:rPr>
          <w:sz w:val="28"/>
          <w:szCs w:val="28"/>
        </w:rPr>
        <w:t>pelet</w:t>
      </w:r>
      <w:proofErr w:type="spellEnd"/>
    </w:p>
    <w:p w:rsidR="003F163F" w:rsidRDefault="003F163F" w:rsidP="003F163F">
      <w:pPr>
        <w:ind w:left="426"/>
        <w:jc w:val="both"/>
        <w:outlineLvl w:val="0"/>
        <w:rPr>
          <w:sz w:val="28"/>
          <w:szCs w:val="28"/>
        </w:rPr>
      </w:pPr>
      <w:r>
        <w:rPr>
          <w:sz w:val="28"/>
          <w:szCs w:val="28"/>
        </w:rPr>
        <w:t>znajdujące się w magazynie udokumentowane są ewidencją ilościowo – wartościową.</w:t>
      </w:r>
    </w:p>
    <w:p w:rsidR="003F163F" w:rsidRDefault="003F163F" w:rsidP="003F163F">
      <w:pPr>
        <w:pStyle w:val="Akapitzlist"/>
        <w:numPr>
          <w:ilvl w:val="0"/>
          <w:numId w:val="5"/>
        </w:numPr>
        <w:ind w:left="426" w:hanging="426"/>
        <w:jc w:val="both"/>
        <w:outlineLvl w:val="0"/>
        <w:rPr>
          <w:sz w:val="28"/>
          <w:szCs w:val="28"/>
        </w:rPr>
      </w:pPr>
      <w:r>
        <w:rPr>
          <w:sz w:val="28"/>
          <w:szCs w:val="28"/>
        </w:rPr>
        <w:t>Materiały ewidencjonuje się w/g ocen zakupu.</w:t>
      </w:r>
    </w:p>
    <w:p w:rsidR="003F163F" w:rsidRPr="003F163F" w:rsidRDefault="003F163F" w:rsidP="003F163F">
      <w:pPr>
        <w:pStyle w:val="Akapitzlist"/>
        <w:numPr>
          <w:ilvl w:val="0"/>
          <w:numId w:val="5"/>
        </w:numPr>
        <w:ind w:left="426" w:hanging="426"/>
        <w:jc w:val="both"/>
        <w:outlineLvl w:val="0"/>
        <w:rPr>
          <w:sz w:val="28"/>
          <w:szCs w:val="28"/>
        </w:rPr>
      </w:pPr>
      <w:r>
        <w:rPr>
          <w:sz w:val="28"/>
          <w:szCs w:val="28"/>
        </w:rPr>
        <w:t>Drobny sprzęt nie zaliczony do pozostałych środków trwałych objęty jest ewidencją ilościowo – pozabilansową.</w:t>
      </w:r>
    </w:p>
    <w:p w:rsidR="003F163F" w:rsidRDefault="003F163F" w:rsidP="003F163F">
      <w:pPr>
        <w:pStyle w:val="Akapitzlist"/>
        <w:ind w:hanging="720"/>
        <w:jc w:val="both"/>
        <w:outlineLvl w:val="0"/>
        <w:rPr>
          <w:sz w:val="28"/>
          <w:szCs w:val="28"/>
        </w:rPr>
      </w:pPr>
    </w:p>
    <w:p w:rsidR="003F163F" w:rsidRPr="003F163F" w:rsidRDefault="003F163F" w:rsidP="003F163F">
      <w:pPr>
        <w:jc w:val="center"/>
        <w:rPr>
          <w:b/>
          <w:sz w:val="28"/>
          <w:szCs w:val="28"/>
        </w:rPr>
      </w:pPr>
      <w:r w:rsidRPr="003F163F">
        <w:rPr>
          <w:b/>
          <w:sz w:val="28"/>
          <w:szCs w:val="28"/>
        </w:rPr>
        <w:t xml:space="preserve">§ </w:t>
      </w:r>
      <w:r>
        <w:rPr>
          <w:b/>
          <w:sz w:val="28"/>
          <w:szCs w:val="28"/>
        </w:rPr>
        <w:t>5</w:t>
      </w:r>
    </w:p>
    <w:p w:rsidR="003F163F" w:rsidRPr="003F163F" w:rsidRDefault="003F163F" w:rsidP="003F163F">
      <w:pPr>
        <w:ind w:left="426" w:hanging="426"/>
        <w:jc w:val="center"/>
        <w:rPr>
          <w:sz w:val="28"/>
          <w:szCs w:val="28"/>
        </w:rPr>
      </w:pPr>
    </w:p>
    <w:p w:rsidR="003F163F" w:rsidRDefault="003F163F" w:rsidP="003F163F">
      <w:pPr>
        <w:pStyle w:val="Akapitzlist"/>
        <w:numPr>
          <w:ilvl w:val="0"/>
          <w:numId w:val="7"/>
        </w:numPr>
        <w:ind w:left="426" w:hanging="426"/>
        <w:jc w:val="both"/>
        <w:outlineLvl w:val="0"/>
        <w:rPr>
          <w:sz w:val="28"/>
          <w:szCs w:val="28"/>
        </w:rPr>
      </w:pPr>
      <w:r>
        <w:rPr>
          <w:sz w:val="28"/>
          <w:szCs w:val="28"/>
        </w:rPr>
        <w:t>Podstawą dokonywania odpisów amortyzacyjnych (umorzeniowych) stanowić będą stawki określone w przepisach o podatku dochodowym od osób prawnych.</w:t>
      </w:r>
    </w:p>
    <w:p w:rsidR="003F163F" w:rsidRPr="003F163F" w:rsidRDefault="003F163F" w:rsidP="003F163F">
      <w:pPr>
        <w:pStyle w:val="Akapitzlist"/>
        <w:numPr>
          <w:ilvl w:val="0"/>
          <w:numId w:val="7"/>
        </w:numPr>
        <w:ind w:left="426" w:hanging="426"/>
        <w:jc w:val="both"/>
        <w:outlineLvl w:val="0"/>
        <w:rPr>
          <w:sz w:val="28"/>
          <w:szCs w:val="28"/>
        </w:rPr>
      </w:pPr>
      <w:r>
        <w:rPr>
          <w:sz w:val="28"/>
          <w:szCs w:val="28"/>
        </w:rPr>
        <w:t>Utrzymuje się zasadę pełnego umorzenia pozostałych środków trwałych zaliczonych do wyposażenia poprzez wpisania w koszty w dniu zapłaty.</w:t>
      </w:r>
    </w:p>
    <w:p w:rsidR="003F163F" w:rsidRDefault="003F163F" w:rsidP="003F163F">
      <w:pPr>
        <w:pStyle w:val="Akapitzlist"/>
        <w:ind w:hanging="720"/>
        <w:jc w:val="both"/>
        <w:outlineLvl w:val="0"/>
        <w:rPr>
          <w:b/>
          <w:sz w:val="28"/>
          <w:szCs w:val="28"/>
        </w:rPr>
      </w:pPr>
    </w:p>
    <w:p w:rsidR="003F163F" w:rsidRPr="003F163F" w:rsidRDefault="003F163F" w:rsidP="003F163F">
      <w:pPr>
        <w:jc w:val="center"/>
        <w:rPr>
          <w:b/>
          <w:sz w:val="28"/>
          <w:szCs w:val="28"/>
        </w:rPr>
      </w:pPr>
      <w:r w:rsidRPr="003F163F">
        <w:rPr>
          <w:b/>
          <w:sz w:val="28"/>
          <w:szCs w:val="28"/>
        </w:rPr>
        <w:t xml:space="preserve">§ </w:t>
      </w:r>
      <w:r>
        <w:rPr>
          <w:b/>
          <w:sz w:val="28"/>
          <w:szCs w:val="28"/>
        </w:rPr>
        <w:t>6</w:t>
      </w:r>
    </w:p>
    <w:p w:rsidR="003F163F" w:rsidRPr="003F163F" w:rsidRDefault="003F163F" w:rsidP="003F163F">
      <w:pPr>
        <w:ind w:left="426" w:hanging="426"/>
        <w:jc w:val="center"/>
        <w:rPr>
          <w:sz w:val="28"/>
          <w:szCs w:val="28"/>
        </w:rPr>
      </w:pPr>
    </w:p>
    <w:p w:rsidR="003F163F" w:rsidRPr="003F163F" w:rsidRDefault="003F163F" w:rsidP="003F163F">
      <w:pPr>
        <w:pStyle w:val="Akapitzlist"/>
        <w:ind w:left="0"/>
        <w:jc w:val="both"/>
        <w:outlineLvl w:val="0"/>
        <w:rPr>
          <w:b/>
          <w:sz w:val="28"/>
          <w:szCs w:val="28"/>
        </w:rPr>
      </w:pPr>
      <w:r>
        <w:rPr>
          <w:sz w:val="28"/>
          <w:szCs w:val="28"/>
        </w:rPr>
        <w:t>Ewidencja podatków i opłat z podziałem na klasyfikację budżetową prowadzona jest w jednostce w Referacie Finansowo</w:t>
      </w:r>
      <w:r w:rsidR="008A3077">
        <w:rPr>
          <w:sz w:val="28"/>
          <w:szCs w:val="28"/>
        </w:rPr>
        <w:t xml:space="preserve"> – Księgowym.</w:t>
      </w:r>
      <w:r>
        <w:rPr>
          <w:sz w:val="28"/>
          <w:szCs w:val="28"/>
        </w:rPr>
        <w:t xml:space="preserve"> </w:t>
      </w:r>
    </w:p>
    <w:p w:rsidR="003F163F" w:rsidRDefault="003F163F" w:rsidP="003F163F">
      <w:pPr>
        <w:jc w:val="both"/>
        <w:outlineLvl w:val="0"/>
        <w:rPr>
          <w:sz w:val="28"/>
          <w:szCs w:val="28"/>
        </w:rPr>
      </w:pPr>
    </w:p>
    <w:p w:rsidR="008A3077" w:rsidRDefault="008A3077" w:rsidP="008A3077">
      <w:pPr>
        <w:jc w:val="center"/>
        <w:rPr>
          <w:b/>
          <w:sz w:val="28"/>
          <w:szCs w:val="28"/>
        </w:rPr>
      </w:pPr>
    </w:p>
    <w:p w:rsidR="00820C2D" w:rsidRDefault="00820C2D" w:rsidP="008A3077">
      <w:pPr>
        <w:jc w:val="center"/>
        <w:rPr>
          <w:b/>
          <w:sz w:val="28"/>
          <w:szCs w:val="28"/>
        </w:rPr>
      </w:pPr>
    </w:p>
    <w:p w:rsidR="008A3077" w:rsidRPr="003F163F" w:rsidRDefault="008A3077" w:rsidP="008A3077">
      <w:pPr>
        <w:jc w:val="center"/>
        <w:rPr>
          <w:b/>
          <w:sz w:val="28"/>
          <w:szCs w:val="28"/>
        </w:rPr>
      </w:pPr>
      <w:r w:rsidRPr="003F163F">
        <w:rPr>
          <w:b/>
          <w:sz w:val="28"/>
          <w:szCs w:val="28"/>
        </w:rPr>
        <w:lastRenderedPageBreak/>
        <w:t xml:space="preserve">§ </w:t>
      </w:r>
      <w:r>
        <w:rPr>
          <w:b/>
          <w:sz w:val="28"/>
          <w:szCs w:val="28"/>
        </w:rPr>
        <w:t>7</w:t>
      </w:r>
    </w:p>
    <w:p w:rsidR="008A3077" w:rsidRPr="003F163F" w:rsidRDefault="008A3077" w:rsidP="008A3077">
      <w:pPr>
        <w:ind w:left="426" w:hanging="426"/>
        <w:jc w:val="center"/>
        <w:rPr>
          <w:sz w:val="28"/>
          <w:szCs w:val="28"/>
        </w:rPr>
      </w:pPr>
    </w:p>
    <w:p w:rsidR="008A3077" w:rsidRPr="008A3077" w:rsidRDefault="008A3077" w:rsidP="008A3077">
      <w:pPr>
        <w:jc w:val="both"/>
        <w:outlineLvl w:val="0"/>
        <w:rPr>
          <w:sz w:val="28"/>
          <w:szCs w:val="28"/>
        </w:rPr>
      </w:pPr>
      <w:r>
        <w:rPr>
          <w:sz w:val="28"/>
          <w:szCs w:val="28"/>
        </w:rPr>
        <w:t>Traci moc Zarządzenie Nr 0050/85/2012 Wójta Gminy Słubice z dnia 31 grudnia 2012 r. w sprawie</w:t>
      </w:r>
      <w:r w:rsidR="00514817">
        <w:rPr>
          <w:sz w:val="28"/>
          <w:szCs w:val="28"/>
        </w:rPr>
        <w:t>:</w:t>
      </w:r>
      <w:r>
        <w:rPr>
          <w:sz w:val="28"/>
          <w:szCs w:val="28"/>
        </w:rPr>
        <w:t xml:space="preserve"> wprowadzenia zasad (polityki) rachunkowości w Urzędzie Gminy Słubice zmienione Zarządzeniami: Nr 0050.75.2013 z dnia 31 grudnia 2013 r. i Nr 0050.25.2016 z dnia 14 </w:t>
      </w:r>
      <w:r w:rsidRPr="008A3077">
        <w:rPr>
          <w:sz w:val="28"/>
          <w:szCs w:val="28"/>
        </w:rPr>
        <w:t xml:space="preserve">kwietnia 2016 r. </w:t>
      </w:r>
    </w:p>
    <w:p w:rsidR="003F163F" w:rsidRPr="008A3077" w:rsidRDefault="003F163F" w:rsidP="003F163F">
      <w:pPr>
        <w:jc w:val="both"/>
        <w:outlineLvl w:val="0"/>
        <w:rPr>
          <w:sz w:val="28"/>
          <w:szCs w:val="28"/>
        </w:rPr>
      </w:pPr>
    </w:p>
    <w:p w:rsidR="008A3077" w:rsidRPr="008A3077" w:rsidRDefault="008A3077" w:rsidP="008A3077">
      <w:pPr>
        <w:jc w:val="center"/>
        <w:rPr>
          <w:b/>
          <w:sz w:val="28"/>
          <w:szCs w:val="28"/>
        </w:rPr>
      </w:pPr>
      <w:r w:rsidRPr="008A3077">
        <w:rPr>
          <w:b/>
          <w:sz w:val="28"/>
          <w:szCs w:val="28"/>
        </w:rPr>
        <w:t>§ 8</w:t>
      </w:r>
    </w:p>
    <w:p w:rsidR="008A3077" w:rsidRPr="008A3077" w:rsidRDefault="008A3077" w:rsidP="003F163F">
      <w:pPr>
        <w:jc w:val="both"/>
        <w:outlineLvl w:val="0"/>
        <w:rPr>
          <w:sz w:val="28"/>
          <w:szCs w:val="28"/>
        </w:rPr>
      </w:pPr>
    </w:p>
    <w:p w:rsidR="008A3077" w:rsidRPr="00AC1C04" w:rsidRDefault="00891BA4" w:rsidP="00AC1C04">
      <w:pPr>
        <w:jc w:val="both"/>
        <w:outlineLvl w:val="0"/>
        <w:rPr>
          <w:sz w:val="28"/>
          <w:szCs w:val="28"/>
        </w:rPr>
      </w:pPr>
      <w:r w:rsidRPr="008A3077">
        <w:rPr>
          <w:sz w:val="28"/>
          <w:szCs w:val="28"/>
        </w:rPr>
        <w:t>Zarządzenie wchodzi w życie z dniem podpisania.</w:t>
      </w:r>
    </w:p>
    <w:sectPr w:rsidR="008A3077" w:rsidRPr="00AC1C04" w:rsidSect="00820C2D">
      <w:footerReference w:type="even" r:id="rId7"/>
      <w:footerReference w:type="default" r:id="rId8"/>
      <w:pgSz w:w="11906" w:h="16838"/>
      <w:pgMar w:top="1418" w:right="1287"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EC3" w:rsidRDefault="00D90EC3" w:rsidP="00891BA4">
      <w:r>
        <w:separator/>
      </w:r>
    </w:p>
  </w:endnote>
  <w:endnote w:type="continuationSeparator" w:id="0">
    <w:p w:rsidR="00D90EC3" w:rsidRDefault="00D90EC3" w:rsidP="0089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B6" w:rsidRDefault="007B19C5" w:rsidP="00085D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C15B6" w:rsidRDefault="00D90EC3" w:rsidP="00766DD9">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B6" w:rsidRDefault="00D90EC3" w:rsidP="00891BA4">
    <w:pPr>
      <w:pStyle w:val="Stopka"/>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EC3" w:rsidRDefault="00D90EC3" w:rsidP="00891BA4">
      <w:r>
        <w:separator/>
      </w:r>
    </w:p>
  </w:footnote>
  <w:footnote w:type="continuationSeparator" w:id="0">
    <w:p w:rsidR="00D90EC3" w:rsidRDefault="00D90EC3" w:rsidP="00891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859"/>
    <w:multiLevelType w:val="hybridMultilevel"/>
    <w:tmpl w:val="9760D626"/>
    <w:lvl w:ilvl="0" w:tplc="0415000F">
      <w:start w:val="1"/>
      <w:numFmt w:val="decimal"/>
      <w:lvlText w:val="%1."/>
      <w:lvlJc w:val="left"/>
      <w:pPr>
        <w:tabs>
          <w:tab w:val="num" w:pos="360"/>
        </w:tabs>
        <w:ind w:left="360" w:hanging="360"/>
      </w:pPr>
    </w:lvl>
    <w:lvl w:ilvl="1" w:tplc="04150005">
      <w:start w:val="1"/>
      <w:numFmt w:val="bullet"/>
      <w:lvlText w:val=""/>
      <w:lvlJc w:val="left"/>
      <w:pPr>
        <w:tabs>
          <w:tab w:val="num" w:pos="1080"/>
        </w:tabs>
        <w:ind w:left="1080" w:hanging="360"/>
      </w:pPr>
      <w:rPr>
        <w:rFonts w:ascii="Wingdings" w:hAnsi="Wingding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53C06A8"/>
    <w:multiLevelType w:val="hybridMultilevel"/>
    <w:tmpl w:val="32E0428A"/>
    <w:lvl w:ilvl="0" w:tplc="5AACE1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BB97480"/>
    <w:multiLevelType w:val="hybridMultilevel"/>
    <w:tmpl w:val="B1105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78477A"/>
    <w:multiLevelType w:val="hybridMultilevel"/>
    <w:tmpl w:val="AD564570"/>
    <w:lvl w:ilvl="0" w:tplc="5AACE1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A8058F9"/>
    <w:multiLevelType w:val="hybridMultilevel"/>
    <w:tmpl w:val="6546A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C63802"/>
    <w:multiLevelType w:val="hybridMultilevel"/>
    <w:tmpl w:val="C596C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C51E50"/>
    <w:multiLevelType w:val="hybridMultilevel"/>
    <w:tmpl w:val="D9508B8E"/>
    <w:lvl w:ilvl="0" w:tplc="6C74F59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6D03FD"/>
    <w:multiLevelType w:val="hybridMultilevel"/>
    <w:tmpl w:val="A9103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783"/>
    <w:rsid w:val="00027664"/>
    <w:rsid w:val="000D4279"/>
    <w:rsid w:val="00286AF0"/>
    <w:rsid w:val="002D5699"/>
    <w:rsid w:val="003A791B"/>
    <w:rsid w:val="003F163F"/>
    <w:rsid w:val="00454E5F"/>
    <w:rsid w:val="004835FB"/>
    <w:rsid w:val="00514817"/>
    <w:rsid w:val="00570414"/>
    <w:rsid w:val="00737AA7"/>
    <w:rsid w:val="00756D65"/>
    <w:rsid w:val="007B19C5"/>
    <w:rsid w:val="008171F2"/>
    <w:rsid w:val="00820C2D"/>
    <w:rsid w:val="00853235"/>
    <w:rsid w:val="0086495B"/>
    <w:rsid w:val="00891BA4"/>
    <w:rsid w:val="008A1FD5"/>
    <w:rsid w:val="008A3077"/>
    <w:rsid w:val="00935D5E"/>
    <w:rsid w:val="00AC1C04"/>
    <w:rsid w:val="00B60783"/>
    <w:rsid w:val="00BB17BD"/>
    <w:rsid w:val="00BF5CE5"/>
    <w:rsid w:val="00C502F3"/>
    <w:rsid w:val="00D90EC3"/>
    <w:rsid w:val="00FE77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DAE91-16D4-4EB4-9E0E-011FA7C7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078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B60783"/>
    <w:pPr>
      <w:tabs>
        <w:tab w:val="center" w:pos="4536"/>
        <w:tab w:val="right" w:pos="9072"/>
      </w:tabs>
    </w:pPr>
  </w:style>
  <w:style w:type="character" w:customStyle="1" w:styleId="StopkaZnak">
    <w:name w:val="Stopka Znak"/>
    <w:basedOn w:val="Domylnaczcionkaakapitu"/>
    <w:link w:val="Stopka"/>
    <w:rsid w:val="00B60783"/>
    <w:rPr>
      <w:rFonts w:ascii="Times New Roman" w:eastAsia="Times New Roman" w:hAnsi="Times New Roman" w:cs="Times New Roman"/>
      <w:sz w:val="24"/>
      <w:szCs w:val="24"/>
      <w:lang w:eastAsia="pl-PL"/>
    </w:rPr>
  </w:style>
  <w:style w:type="character" w:styleId="Numerstrony">
    <w:name w:val="page number"/>
    <w:basedOn w:val="Domylnaczcionkaakapitu"/>
    <w:rsid w:val="00B60783"/>
  </w:style>
  <w:style w:type="paragraph" w:styleId="Nagwek">
    <w:name w:val="header"/>
    <w:basedOn w:val="Normalny"/>
    <w:link w:val="NagwekZnak"/>
    <w:uiPriority w:val="99"/>
    <w:unhideWhenUsed/>
    <w:rsid w:val="00891BA4"/>
    <w:pPr>
      <w:tabs>
        <w:tab w:val="center" w:pos="4536"/>
        <w:tab w:val="right" w:pos="9072"/>
      </w:tabs>
    </w:pPr>
  </w:style>
  <w:style w:type="character" w:customStyle="1" w:styleId="NagwekZnak">
    <w:name w:val="Nagłówek Znak"/>
    <w:basedOn w:val="Domylnaczcionkaakapitu"/>
    <w:link w:val="Nagwek"/>
    <w:uiPriority w:val="99"/>
    <w:rsid w:val="00891BA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F5CE5"/>
    <w:rPr>
      <w:sz w:val="16"/>
      <w:szCs w:val="16"/>
    </w:rPr>
  </w:style>
  <w:style w:type="paragraph" w:styleId="Tekstkomentarza">
    <w:name w:val="annotation text"/>
    <w:basedOn w:val="Normalny"/>
    <w:link w:val="TekstkomentarzaZnak"/>
    <w:uiPriority w:val="99"/>
    <w:semiHidden/>
    <w:unhideWhenUsed/>
    <w:rsid w:val="00BF5CE5"/>
    <w:rPr>
      <w:sz w:val="20"/>
      <w:szCs w:val="20"/>
    </w:rPr>
  </w:style>
  <w:style w:type="character" w:customStyle="1" w:styleId="TekstkomentarzaZnak">
    <w:name w:val="Tekst komentarza Znak"/>
    <w:basedOn w:val="Domylnaczcionkaakapitu"/>
    <w:link w:val="Tekstkomentarza"/>
    <w:uiPriority w:val="99"/>
    <w:semiHidden/>
    <w:rsid w:val="00BF5CE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F5CE5"/>
    <w:rPr>
      <w:b/>
      <w:bCs/>
    </w:rPr>
  </w:style>
  <w:style w:type="character" w:customStyle="1" w:styleId="TematkomentarzaZnak">
    <w:name w:val="Temat komentarza Znak"/>
    <w:basedOn w:val="TekstkomentarzaZnak"/>
    <w:link w:val="Tematkomentarza"/>
    <w:uiPriority w:val="99"/>
    <w:semiHidden/>
    <w:rsid w:val="00BF5CE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F5C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CE5"/>
    <w:rPr>
      <w:rFonts w:ascii="Segoe UI" w:eastAsia="Times New Roman" w:hAnsi="Segoe UI" w:cs="Segoe UI"/>
      <w:sz w:val="18"/>
      <w:szCs w:val="18"/>
      <w:lang w:eastAsia="pl-PL"/>
    </w:rPr>
  </w:style>
  <w:style w:type="paragraph" w:styleId="Akapitzlist">
    <w:name w:val="List Paragraph"/>
    <w:basedOn w:val="Normalny"/>
    <w:uiPriority w:val="34"/>
    <w:qFormat/>
    <w:rsid w:val="00935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535</Words>
  <Characters>3215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Jakubowska</dc:creator>
  <cp:keywords/>
  <dc:description/>
  <cp:lastModifiedBy>Joanna Jakubowska</cp:lastModifiedBy>
  <cp:revision>12</cp:revision>
  <dcterms:created xsi:type="dcterms:W3CDTF">2018-04-18T06:16:00Z</dcterms:created>
  <dcterms:modified xsi:type="dcterms:W3CDTF">2018-04-23T05:52:00Z</dcterms:modified>
</cp:coreProperties>
</file>