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Objaśnienia do Wieloletniej Prognozy Finans</w:t>
      </w:r>
      <w:r w:rsidR="00382E15">
        <w:rPr>
          <w:b/>
          <w:bCs/>
          <w:sz w:val="28"/>
          <w:szCs w:val="28"/>
        </w:rPr>
        <w:t>owej Gminy Słubice na lata 201</w:t>
      </w:r>
      <w:r w:rsidR="00DF2F06">
        <w:rPr>
          <w:b/>
          <w:bCs/>
          <w:sz w:val="28"/>
          <w:szCs w:val="28"/>
        </w:rPr>
        <w:t>8</w:t>
      </w:r>
      <w:r w:rsidR="00B47DAD">
        <w:rPr>
          <w:b/>
          <w:bCs/>
          <w:sz w:val="28"/>
          <w:szCs w:val="28"/>
        </w:rPr>
        <w:t xml:space="preserve"> </w:t>
      </w:r>
      <w:r w:rsidR="00FF3F8C">
        <w:rPr>
          <w:b/>
          <w:bCs/>
          <w:sz w:val="28"/>
          <w:szCs w:val="28"/>
        </w:rPr>
        <w:t>–</w:t>
      </w:r>
      <w:r w:rsidRPr="008A0D41">
        <w:rPr>
          <w:b/>
          <w:bCs/>
          <w:sz w:val="28"/>
          <w:szCs w:val="28"/>
        </w:rPr>
        <w:t xml:space="preserve"> 202</w:t>
      </w:r>
      <w:r w:rsidR="00382E15">
        <w:rPr>
          <w:b/>
          <w:bCs/>
          <w:sz w:val="28"/>
          <w:szCs w:val="28"/>
        </w:rPr>
        <w:t>4</w:t>
      </w:r>
    </w:p>
    <w:p w:rsid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945" w:rsidRPr="008A0D41" w:rsidRDefault="003C6945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I. Ogólne założe</w:t>
      </w:r>
      <w:r w:rsidR="00B47DAD">
        <w:rPr>
          <w:b/>
          <w:bCs/>
          <w:sz w:val="28"/>
          <w:szCs w:val="28"/>
        </w:rPr>
        <w:t>nia przyjęte do opracowania WPF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Wieloletnia Prognoza Finansowa została sporządzona zgodnie z art. 226</w:t>
      </w:r>
      <w:r w:rsidR="002D3AC5">
        <w:rPr>
          <w:sz w:val="28"/>
          <w:szCs w:val="28"/>
        </w:rPr>
        <w:t xml:space="preserve"> – </w:t>
      </w:r>
      <w:r w:rsidRPr="008A0D41">
        <w:rPr>
          <w:sz w:val="28"/>
          <w:szCs w:val="28"/>
        </w:rPr>
        <w:t>232 ustawy z dnia 27 sierpnia 2009 r. o finansach pub</w:t>
      </w:r>
      <w:r w:rsidR="00382E15">
        <w:rPr>
          <w:sz w:val="28"/>
          <w:szCs w:val="28"/>
        </w:rPr>
        <w:t>licznych. Obejmuje ona lata 201</w:t>
      </w:r>
      <w:r w:rsidR="00DF2F06">
        <w:rPr>
          <w:sz w:val="28"/>
          <w:szCs w:val="28"/>
        </w:rPr>
        <w:t>8</w:t>
      </w:r>
      <w:r w:rsidR="002D3AC5">
        <w:rPr>
          <w:sz w:val="28"/>
          <w:szCs w:val="28"/>
        </w:rPr>
        <w:t xml:space="preserve"> – </w:t>
      </w:r>
      <w:r w:rsidR="00382E15">
        <w:rPr>
          <w:sz w:val="28"/>
          <w:szCs w:val="28"/>
        </w:rPr>
        <w:t>2024</w:t>
      </w:r>
      <w:r w:rsidRPr="008A0D41">
        <w:rPr>
          <w:sz w:val="28"/>
          <w:szCs w:val="28"/>
        </w:rPr>
        <w:t>, co wynika z prognozy kwoty długu na okres zaciągniętych zobowiązań.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Przyjmując założenia do opracowania WPF oparto się na danych history</w:t>
      </w:r>
      <w:r w:rsidR="00F632C8">
        <w:rPr>
          <w:sz w:val="28"/>
          <w:szCs w:val="28"/>
        </w:rPr>
        <w:t>cz</w:t>
      </w:r>
      <w:r w:rsidRPr="008A0D41">
        <w:rPr>
          <w:sz w:val="28"/>
          <w:szCs w:val="28"/>
        </w:rPr>
        <w:t>nych w zakresie poszczególnych źródeł dochodów i kategorii wydatków, przyjmując za punkt odniesienia wartości fa</w:t>
      </w:r>
      <w:r w:rsidR="00382E15">
        <w:rPr>
          <w:sz w:val="28"/>
          <w:szCs w:val="28"/>
        </w:rPr>
        <w:t>ktycznie wykonane w</w:t>
      </w:r>
      <w:r w:rsidR="00B47DAD">
        <w:rPr>
          <w:sz w:val="28"/>
          <w:szCs w:val="28"/>
        </w:rPr>
        <w:t> </w:t>
      </w:r>
      <w:r w:rsidR="00382E15">
        <w:rPr>
          <w:sz w:val="28"/>
          <w:szCs w:val="28"/>
        </w:rPr>
        <w:t>latach 201</w:t>
      </w:r>
      <w:r w:rsidR="00DF2F06">
        <w:rPr>
          <w:sz w:val="28"/>
          <w:szCs w:val="28"/>
        </w:rPr>
        <w:t>5</w:t>
      </w:r>
      <w:r w:rsidR="002D3AC5">
        <w:rPr>
          <w:sz w:val="28"/>
          <w:szCs w:val="28"/>
        </w:rPr>
        <w:t xml:space="preserve"> – </w:t>
      </w:r>
      <w:r w:rsidR="00382E15">
        <w:rPr>
          <w:sz w:val="28"/>
          <w:szCs w:val="28"/>
        </w:rPr>
        <w:t>2</w:t>
      </w:r>
      <w:r w:rsidR="002D3AC5">
        <w:rPr>
          <w:sz w:val="28"/>
          <w:szCs w:val="28"/>
        </w:rPr>
        <w:t>01</w:t>
      </w:r>
      <w:r w:rsidR="00DF2F06">
        <w:rPr>
          <w:sz w:val="28"/>
          <w:szCs w:val="28"/>
        </w:rPr>
        <w:t>6</w:t>
      </w:r>
      <w:r w:rsidRPr="008A0D41">
        <w:rPr>
          <w:sz w:val="28"/>
          <w:szCs w:val="28"/>
        </w:rPr>
        <w:t xml:space="preserve"> </w:t>
      </w:r>
      <w:r w:rsidR="00382E15">
        <w:rPr>
          <w:sz w:val="28"/>
          <w:szCs w:val="28"/>
        </w:rPr>
        <w:t>oraz plan budżetu na rok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w/g stanu na</w:t>
      </w:r>
      <w:r w:rsidR="00B47DAD">
        <w:rPr>
          <w:sz w:val="28"/>
          <w:szCs w:val="28"/>
        </w:rPr>
        <w:t xml:space="preserve"> </w:t>
      </w:r>
      <w:r w:rsidRPr="008A0D41">
        <w:rPr>
          <w:sz w:val="28"/>
          <w:szCs w:val="28"/>
        </w:rPr>
        <w:t>30 września</w:t>
      </w:r>
      <w:r w:rsidR="00FF3F8C">
        <w:rPr>
          <w:sz w:val="28"/>
          <w:szCs w:val="28"/>
        </w:rPr>
        <w:t xml:space="preserve"> </w:t>
      </w:r>
      <w:r w:rsidR="00382E15">
        <w:rPr>
          <w:sz w:val="28"/>
          <w:szCs w:val="28"/>
        </w:rPr>
        <w:t>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r. oraz przewi</w:t>
      </w:r>
      <w:r w:rsidR="00382E15">
        <w:rPr>
          <w:sz w:val="28"/>
          <w:szCs w:val="28"/>
        </w:rPr>
        <w:t>dywane wykonanie budżetu za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rok.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Dochody i wydat</w:t>
      </w:r>
      <w:r w:rsidR="00382E15">
        <w:rPr>
          <w:sz w:val="28"/>
          <w:szCs w:val="28"/>
        </w:rPr>
        <w:t>ki, przychody i rozchody na 201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rok przyjęto w wartościach zgodnych z projektem uchwały budżetowej na ten rok.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Ponadto prognozę finansową opracowano na podstawie regulacji dotyczących projektowania budżetu zawartych w ustawie o finansach publicznych, ustawie o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dochodach jednostek samorządu terytorialnego, ustawie o podatkach i</w:t>
      </w:r>
      <w:r w:rsidR="00FF3F8C">
        <w:rPr>
          <w:sz w:val="28"/>
          <w:szCs w:val="28"/>
        </w:rPr>
        <w:t xml:space="preserve"> </w:t>
      </w:r>
      <w:r w:rsidRPr="008A0D41">
        <w:rPr>
          <w:sz w:val="28"/>
          <w:szCs w:val="28"/>
        </w:rPr>
        <w:t>opłatach lokalnych, uchwał Rady Gminy podjętych na podstawie tych ustaw i</w:t>
      </w:r>
      <w:r w:rsidR="00B47DAD">
        <w:rPr>
          <w:sz w:val="28"/>
          <w:szCs w:val="28"/>
        </w:rPr>
        <w:t> </w:t>
      </w:r>
      <w:r w:rsidR="00382E15">
        <w:rPr>
          <w:sz w:val="28"/>
          <w:szCs w:val="28"/>
        </w:rPr>
        <w:t>planowanych do podjęcia na 201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rok, analizy kształtowania się sytuacji finansowej Gminy w ostatnich latach oraz przewidywanych ograniczeń rozwoju w związku z rosnącym udziałem środków własnych na utrzymanie placówek oświatowych funkcjonujących na ter</w:t>
      </w:r>
      <w:r w:rsidR="00B47C77">
        <w:rPr>
          <w:sz w:val="28"/>
          <w:szCs w:val="28"/>
        </w:rPr>
        <w:t>e</w:t>
      </w:r>
      <w:r w:rsidRPr="008A0D41">
        <w:rPr>
          <w:sz w:val="28"/>
          <w:szCs w:val="28"/>
        </w:rPr>
        <w:t>nie gminy.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W wieloletn</w:t>
      </w:r>
      <w:r w:rsidR="00382E15">
        <w:rPr>
          <w:sz w:val="28"/>
          <w:szCs w:val="28"/>
        </w:rPr>
        <w:t>iej prognozie finansowej na 201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rok przyjęto wzrost ogó</w:t>
      </w:r>
      <w:r w:rsidR="00382E15">
        <w:rPr>
          <w:sz w:val="28"/>
          <w:szCs w:val="28"/>
        </w:rPr>
        <w:t xml:space="preserve">lnych dochodów i wydatków o </w:t>
      </w:r>
      <w:r w:rsidR="00DF2F06">
        <w:rPr>
          <w:sz w:val="28"/>
          <w:szCs w:val="28"/>
        </w:rPr>
        <w:t>2</w:t>
      </w:r>
      <w:r w:rsidR="00382E15">
        <w:rPr>
          <w:sz w:val="28"/>
          <w:szCs w:val="28"/>
        </w:rPr>
        <w:t>,</w:t>
      </w:r>
      <w:r w:rsidR="00F632C8">
        <w:rPr>
          <w:sz w:val="28"/>
          <w:szCs w:val="28"/>
        </w:rPr>
        <w:t>3</w:t>
      </w:r>
      <w:r w:rsidR="00382E15">
        <w:rPr>
          <w:sz w:val="28"/>
          <w:szCs w:val="28"/>
        </w:rPr>
        <w:t>%, natomiast w latach 201</w:t>
      </w:r>
      <w:r w:rsidR="00DF2F06">
        <w:rPr>
          <w:sz w:val="28"/>
          <w:szCs w:val="28"/>
        </w:rPr>
        <w:t>9</w:t>
      </w:r>
      <w:r w:rsidR="006D5E68">
        <w:rPr>
          <w:sz w:val="28"/>
          <w:szCs w:val="28"/>
        </w:rPr>
        <w:t xml:space="preserve"> – </w:t>
      </w:r>
      <w:r w:rsidR="00382E15">
        <w:rPr>
          <w:sz w:val="28"/>
          <w:szCs w:val="28"/>
        </w:rPr>
        <w:t>2024</w:t>
      </w:r>
      <w:r w:rsidRPr="008A0D41">
        <w:rPr>
          <w:sz w:val="28"/>
          <w:szCs w:val="28"/>
        </w:rPr>
        <w:t xml:space="preserve"> przyjęto wzrost dochodów o około 3%.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II. Prognozowane dochody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0D41" w:rsidRPr="008A0D41" w:rsidRDefault="00382E15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201</w:t>
      </w:r>
      <w:r w:rsidR="00DF2F06">
        <w:rPr>
          <w:sz w:val="28"/>
          <w:szCs w:val="28"/>
        </w:rPr>
        <w:t>8</w:t>
      </w:r>
      <w:r w:rsidR="008A0D41" w:rsidRPr="008A0D41">
        <w:rPr>
          <w:sz w:val="28"/>
          <w:szCs w:val="28"/>
        </w:rPr>
        <w:t xml:space="preserve"> r. założono wzrost dochodów bieżących tj. podatku rolnego, podatku od nieruchomości, podatku od środków transportowych, wody, ścieków i</w:t>
      </w:r>
      <w:r w:rsidR="00FF3F8C">
        <w:rPr>
          <w:sz w:val="28"/>
          <w:szCs w:val="28"/>
        </w:rPr>
        <w:t xml:space="preserve"> </w:t>
      </w:r>
      <w:r w:rsidR="008A0D41" w:rsidRPr="008A0D41">
        <w:rPr>
          <w:sz w:val="28"/>
          <w:szCs w:val="28"/>
        </w:rPr>
        <w:t xml:space="preserve">czynszu, opłaty targowej </w:t>
      </w:r>
      <w:r w:rsidR="006D5E68">
        <w:rPr>
          <w:sz w:val="28"/>
          <w:szCs w:val="28"/>
        </w:rPr>
        <w:t xml:space="preserve">oraz pozostałych dochodów o </w:t>
      </w:r>
      <w:r w:rsidR="00DF2F06">
        <w:rPr>
          <w:sz w:val="28"/>
          <w:szCs w:val="28"/>
        </w:rPr>
        <w:t>2</w:t>
      </w:r>
      <w:r w:rsidR="006D5E68">
        <w:rPr>
          <w:sz w:val="28"/>
          <w:szCs w:val="28"/>
        </w:rPr>
        <w:t>,</w:t>
      </w:r>
      <w:r w:rsidR="00F632C8">
        <w:rPr>
          <w:sz w:val="28"/>
          <w:szCs w:val="28"/>
        </w:rPr>
        <w:t>3</w:t>
      </w:r>
      <w:r w:rsidR="008A0D41" w:rsidRPr="008A0D41">
        <w:rPr>
          <w:sz w:val="28"/>
          <w:szCs w:val="28"/>
        </w:rPr>
        <w:t>%.</w:t>
      </w:r>
    </w:p>
    <w:p w:rsidR="003C6945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W b</w:t>
      </w:r>
      <w:r w:rsidR="00382E15">
        <w:rPr>
          <w:sz w:val="28"/>
          <w:szCs w:val="28"/>
        </w:rPr>
        <w:t>udżecie na 201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rok przyjęto podane przez Mini</w:t>
      </w:r>
      <w:r w:rsidR="00382E15">
        <w:rPr>
          <w:sz w:val="28"/>
          <w:szCs w:val="28"/>
        </w:rPr>
        <w:t>stra Finansów w piśmie z</w:t>
      </w:r>
      <w:r w:rsidR="00B47DAD">
        <w:rPr>
          <w:sz w:val="28"/>
          <w:szCs w:val="28"/>
        </w:rPr>
        <w:t> </w:t>
      </w:r>
      <w:r w:rsidR="00382E15">
        <w:rPr>
          <w:sz w:val="28"/>
          <w:szCs w:val="28"/>
        </w:rPr>
        <w:t>dnia 1</w:t>
      </w:r>
      <w:r w:rsidR="00DF2F06">
        <w:rPr>
          <w:sz w:val="28"/>
          <w:szCs w:val="28"/>
        </w:rPr>
        <w:t>2</w:t>
      </w:r>
      <w:r w:rsidR="00382E15">
        <w:rPr>
          <w:sz w:val="28"/>
          <w:szCs w:val="28"/>
        </w:rPr>
        <w:t xml:space="preserve"> października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r. planowane kwoty poszczególnych części subwencji ogólnej</w:t>
      </w:r>
      <w:r w:rsidR="00B47C77">
        <w:rPr>
          <w:sz w:val="28"/>
          <w:szCs w:val="28"/>
        </w:rPr>
        <w:t>,</w:t>
      </w:r>
      <w:r w:rsidRPr="008A0D41">
        <w:rPr>
          <w:sz w:val="28"/>
          <w:szCs w:val="28"/>
        </w:rPr>
        <w:t xml:space="preserve"> gdzie zarówno w części </w:t>
      </w:r>
      <w:r w:rsidR="00DF2F06">
        <w:rPr>
          <w:sz w:val="28"/>
          <w:szCs w:val="28"/>
        </w:rPr>
        <w:t xml:space="preserve">oświatowej, </w:t>
      </w:r>
      <w:r w:rsidR="00382E15">
        <w:rPr>
          <w:sz w:val="28"/>
          <w:szCs w:val="28"/>
        </w:rPr>
        <w:t>wyrównawczej</w:t>
      </w:r>
      <w:r w:rsidR="006D5E68">
        <w:rPr>
          <w:sz w:val="28"/>
          <w:szCs w:val="28"/>
        </w:rPr>
        <w:t xml:space="preserve"> jak i równoważącej</w:t>
      </w:r>
      <w:r w:rsidR="00382E15">
        <w:rPr>
          <w:sz w:val="28"/>
          <w:szCs w:val="28"/>
        </w:rPr>
        <w:t xml:space="preserve"> </w:t>
      </w:r>
      <w:r w:rsidRPr="008A0D41">
        <w:rPr>
          <w:sz w:val="28"/>
          <w:szCs w:val="28"/>
        </w:rPr>
        <w:t xml:space="preserve">przewidywana jest tendencja </w:t>
      </w:r>
      <w:r w:rsidR="00382E15">
        <w:rPr>
          <w:sz w:val="28"/>
          <w:szCs w:val="28"/>
        </w:rPr>
        <w:t>wzrostu</w:t>
      </w:r>
      <w:r w:rsidRPr="008A0D41">
        <w:rPr>
          <w:sz w:val="28"/>
          <w:szCs w:val="28"/>
        </w:rPr>
        <w:t xml:space="preserve"> o kwotę </w:t>
      </w:r>
      <w:r w:rsidR="00DF2F06">
        <w:rPr>
          <w:sz w:val="28"/>
          <w:szCs w:val="28"/>
        </w:rPr>
        <w:t>403.379</w:t>
      </w:r>
      <w:r w:rsidRPr="008A0D41">
        <w:rPr>
          <w:sz w:val="28"/>
          <w:szCs w:val="28"/>
        </w:rPr>
        <w:t>,00 zł. Planowane kwoty dochodów z tytułu udziału we wpływach z podatku dochodowego od osób fizycznych przewidują tendencję wzrostu do planu określonego</w:t>
      </w:r>
      <w:r w:rsidR="00382E15">
        <w:rPr>
          <w:sz w:val="28"/>
          <w:szCs w:val="28"/>
        </w:rPr>
        <w:t xml:space="preserve"> przez Ministra Finansów na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rok. Oszacowane wpływy z</w:t>
      </w:r>
      <w:r w:rsidR="006D5E68">
        <w:rPr>
          <w:sz w:val="28"/>
          <w:szCs w:val="28"/>
        </w:rPr>
        <w:t> </w:t>
      </w:r>
      <w:r w:rsidRPr="008A0D41">
        <w:rPr>
          <w:sz w:val="28"/>
          <w:szCs w:val="28"/>
        </w:rPr>
        <w:t>udziałów w podatku od osób prawnych</w:t>
      </w:r>
      <w:r w:rsidR="00382E15">
        <w:rPr>
          <w:sz w:val="28"/>
          <w:szCs w:val="28"/>
        </w:rPr>
        <w:t xml:space="preserve"> na poziomie wykonania roku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r. Ustalone, zgodnie z informacją </w:t>
      </w:r>
      <w:r w:rsidR="006D5E68">
        <w:rPr>
          <w:sz w:val="28"/>
          <w:szCs w:val="28"/>
        </w:rPr>
        <w:t xml:space="preserve">Wojewody Mazowieckiego z dnia </w:t>
      </w:r>
      <w:r w:rsidR="006D5E68">
        <w:rPr>
          <w:sz w:val="28"/>
          <w:szCs w:val="28"/>
        </w:rPr>
        <w:lastRenderedPageBreak/>
        <w:t>2</w:t>
      </w:r>
      <w:r w:rsidR="00F632C8">
        <w:rPr>
          <w:sz w:val="28"/>
          <w:szCs w:val="28"/>
        </w:rPr>
        <w:t>4</w:t>
      </w:r>
      <w:r w:rsidR="006D5E68">
        <w:rPr>
          <w:sz w:val="28"/>
          <w:szCs w:val="28"/>
        </w:rPr>
        <w:t> </w:t>
      </w:r>
      <w:r w:rsidR="00382E15">
        <w:rPr>
          <w:sz w:val="28"/>
          <w:szCs w:val="28"/>
        </w:rPr>
        <w:t>października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r. kwoty dotacji na zadania z</w:t>
      </w:r>
      <w:r w:rsidR="00F632C8">
        <w:rPr>
          <w:sz w:val="28"/>
          <w:szCs w:val="28"/>
        </w:rPr>
        <w:t> </w:t>
      </w:r>
      <w:r w:rsidRPr="008A0D41">
        <w:rPr>
          <w:sz w:val="28"/>
          <w:szCs w:val="28"/>
        </w:rPr>
        <w:t xml:space="preserve">zakresu administracji rządowej oraz dotacji na realizację zadań własnych wykazują tendencję </w:t>
      </w:r>
      <w:r w:rsidR="007A7F02">
        <w:rPr>
          <w:sz w:val="28"/>
          <w:szCs w:val="28"/>
        </w:rPr>
        <w:t>spadku</w:t>
      </w:r>
      <w:r w:rsidRPr="008A0D41">
        <w:rPr>
          <w:sz w:val="28"/>
          <w:szCs w:val="28"/>
        </w:rPr>
        <w:t xml:space="preserve"> w stosunku do kwo</w:t>
      </w:r>
      <w:r w:rsidR="00562C5B">
        <w:rPr>
          <w:sz w:val="28"/>
          <w:szCs w:val="28"/>
        </w:rPr>
        <w:t xml:space="preserve">t przyjętych </w:t>
      </w:r>
      <w:r w:rsidR="007A7F02">
        <w:rPr>
          <w:sz w:val="28"/>
          <w:szCs w:val="28"/>
        </w:rPr>
        <w:t xml:space="preserve">w </w:t>
      </w:r>
      <w:r w:rsidR="003C6945">
        <w:rPr>
          <w:sz w:val="28"/>
          <w:szCs w:val="28"/>
        </w:rPr>
        <w:t>budżecie</w:t>
      </w:r>
      <w:r w:rsidR="00562C5B">
        <w:rPr>
          <w:sz w:val="28"/>
          <w:szCs w:val="28"/>
        </w:rPr>
        <w:t xml:space="preserve"> na 201</w:t>
      </w:r>
      <w:r w:rsidR="00DF2F06">
        <w:rPr>
          <w:sz w:val="28"/>
          <w:szCs w:val="28"/>
        </w:rPr>
        <w:t>7</w:t>
      </w:r>
      <w:r w:rsidR="00F632C8">
        <w:rPr>
          <w:sz w:val="28"/>
          <w:szCs w:val="28"/>
        </w:rPr>
        <w:t> </w:t>
      </w:r>
      <w:r w:rsidRPr="008A0D41">
        <w:rPr>
          <w:sz w:val="28"/>
          <w:szCs w:val="28"/>
        </w:rPr>
        <w:t>rok. Ponad</w:t>
      </w:r>
      <w:r w:rsidR="003C6945">
        <w:rPr>
          <w:sz w:val="28"/>
          <w:szCs w:val="28"/>
        </w:rPr>
        <w:t>to w budżecie przyjęto ustaloną</w:t>
      </w:r>
      <w:r w:rsidRPr="008A0D41">
        <w:rPr>
          <w:sz w:val="28"/>
          <w:szCs w:val="28"/>
        </w:rPr>
        <w:t xml:space="preserve"> przez Krajowe Biuro Wy</w:t>
      </w:r>
      <w:r w:rsidR="003C6945">
        <w:rPr>
          <w:sz w:val="28"/>
          <w:szCs w:val="28"/>
        </w:rPr>
        <w:t>borcze Delegatura w Płocku kwotę</w:t>
      </w:r>
      <w:r w:rsidRPr="008A0D41">
        <w:rPr>
          <w:sz w:val="28"/>
          <w:szCs w:val="28"/>
        </w:rPr>
        <w:t xml:space="preserve"> dotacji na zadanie z </w:t>
      </w:r>
      <w:r w:rsidR="003C6945">
        <w:rPr>
          <w:sz w:val="28"/>
          <w:szCs w:val="28"/>
        </w:rPr>
        <w:t>zakresu administracji rządowej.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 xml:space="preserve">Założono, że wzrost </w:t>
      </w:r>
      <w:r w:rsidR="00562C5B">
        <w:rPr>
          <w:sz w:val="28"/>
          <w:szCs w:val="28"/>
        </w:rPr>
        <w:t>dochodów bieżących w latach 201</w:t>
      </w:r>
      <w:r w:rsidR="00DF2F06">
        <w:rPr>
          <w:sz w:val="28"/>
          <w:szCs w:val="28"/>
        </w:rPr>
        <w:t>9</w:t>
      </w:r>
      <w:r w:rsidR="003C6945">
        <w:rPr>
          <w:sz w:val="28"/>
          <w:szCs w:val="28"/>
        </w:rPr>
        <w:t xml:space="preserve"> – </w:t>
      </w:r>
      <w:r w:rsidR="00562C5B">
        <w:rPr>
          <w:sz w:val="28"/>
          <w:szCs w:val="28"/>
        </w:rPr>
        <w:t>2024</w:t>
      </w:r>
      <w:r w:rsidRPr="008A0D41">
        <w:rPr>
          <w:sz w:val="28"/>
          <w:szCs w:val="28"/>
        </w:rPr>
        <w:t xml:space="preserve"> będzie utrzymywał się na poziomie około 3%.</w:t>
      </w:r>
    </w:p>
    <w:p w:rsidR="00562C5B" w:rsidRDefault="00562C5B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roku 201</w:t>
      </w:r>
      <w:r w:rsidR="00DF2F06">
        <w:rPr>
          <w:sz w:val="28"/>
          <w:szCs w:val="28"/>
        </w:rPr>
        <w:t>8</w:t>
      </w:r>
      <w:r>
        <w:rPr>
          <w:sz w:val="28"/>
          <w:szCs w:val="28"/>
        </w:rPr>
        <w:t xml:space="preserve"> i w latach 201</w:t>
      </w:r>
      <w:r w:rsidR="00DF2F06">
        <w:rPr>
          <w:sz w:val="28"/>
          <w:szCs w:val="28"/>
        </w:rPr>
        <w:t>9</w:t>
      </w:r>
      <w:r w:rsidR="003C6945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="008A0D41" w:rsidRPr="008A0D41">
        <w:rPr>
          <w:sz w:val="28"/>
          <w:szCs w:val="28"/>
        </w:rPr>
        <w:t xml:space="preserve"> nie planuje się dochodów ze sprzedaży majątku</w:t>
      </w:r>
      <w:r>
        <w:rPr>
          <w:sz w:val="28"/>
          <w:szCs w:val="28"/>
        </w:rPr>
        <w:t>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Analiza udziału poszczególnych źródeł dochodów bieżących w dochodach bieżących ogółem w ciągu ostatnich trzech lat potwierdza istnienie prawidłowości polegającej na tym, że największy wpływ na poziom tych dochodów mają: część oświatowa subwencji ogólnej, część wyrównawcza subwencji ogólnej, dotacje celowe, podatki i opłaty lokalne, ze szczególnym naciskiem na podatek od nieruchomości, udziały we wpływach z podatku dochodowego od osób fizycznych.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I</w:t>
      </w:r>
      <w:r w:rsidR="004E0C8D">
        <w:rPr>
          <w:b/>
          <w:bCs/>
          <w:sz w:val="28"/>
          <w:szCs w:val="28"/>
        </w:rPr>
        <w:t>I</w:t>
      </w:r>
      <w:r w:rsidRPr="008A0D41">
        <w:rPr>
          <w:b/>
          <w:bCs/>
          <w:sz w:val="28"/>
          <w:szCs w:val="28"/>
        </w:rPr>
        <w:t>I. Prognozowane wydatki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Wydatki skalkulowano przy uwzględnieniu możliwości dochodowych, jednak z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uwzględnieniem analizy zadań bieżących koniecznych do realizacji oraz obligatoryjności wynikającej z przepisów obowiązującego prawa.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Prognozę oparto na założeniu określonym w art. 242 ust. 2 ustawy o finansach publicznych, polegającym na zachowaniu relacji, iż planowane wydatki bieżące nie mogą przewyższać dochodów bieżących.</w:t>
      </w:r>
    </w:p>
    <w:p w:rsidR="008A0D41" w:rsidRPr="008A0D41" w:rsidRDefault="00562C5B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Na 201</w:t>
      </w:r>
      <w:r w:rsidR="00DF2F06">
        <w:rPr>
          <w:sz w:val="28"/>
          <w:szCs w:val="28"/>
        </w:rPr>
        <w:t>8</w:t>
      </w:r>
      <w:r w:rsidR="008A0D41" w:rsidRPr="008A0D41">
        <w:rPr>
          <w:sz w:val="28"/>
          <w:szCs w:val="28"/>
        </w:rPr>
        <w:t xml:space="preserve"> rok wydatki ogółem zaplanowano w kwocie </w:t>
      </w:r>
      <w:r w:rsidR="00DF2F06">
        <w:rPr>
          <w:sz w:val="28"/>
          <w:szCs w:val="28"/>
        </w:rPr>
        <w:t>18.297.668</w:t>
      </w:r>
      <w:r w:rsidR="008A0D41" w:rsidRPr="008A0D41">
        <w:rPr>
          <w:sz w:val="28"/>
          <w:szCs w:val="28"/>
        </w:rPr>
        <w:t xml:space="preserve">,00 zł, w tym na bieżące – </w:t>
      </w:r>
      <w:r w:rsidR="00DF2F06">
        <w:rPr>
          <w:sz w:val="28"/>
          <w:szCs w:val="28"/>
        </w:rPr>
        <w:t>17.619.668</w:t>
      </w:r>
      <w:r w:rsidR="003C6945">
        <w:rPr>
          <w:sz w:val="28"/>
          <w:szCs w:val="28"/>
        </w:rPr>
        <w:t>,00</w:t>
      </w:r>
      <w:r w:rsidR="008A0D41" w:rsidRPr="008A0D41">
        <w:rPr>
          <w:sz w:val="28"/>
          <w:szCs w:val="28"/>
        </w:rPr>
        <w:t xml:space="preserve"> zł i majątkowe – </w:t>
      </w:r>
      <w:r w:rsidR="00DF2F06">
        <w:rPr>
          <w:sz w:val="28"/>
          <w:szCs w:val="28"/>
        </w:rPr>
        <w:t>678.000</w:t>
      </w:r>
      <w:r w:rsidR="008A0D41" w:rsidRPr="008A0D41">
        <w:rPr>
          <w:sz w:val="28"/>
          <w:szCs w:val="28"/>
        </w:rPr>
        <w:t>,00 zł.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Wynagrodzenia i składki związane z ich naliczeniem</w:t>
      </w:r>
      <w:r w:rsidRPr="008A0D41">
        <w:rPr>
          <w:sz w:val="28"/>
          <w:szCs w:val="28"/>
        </w:rPr>
        <w:t xml:space="preserve"> ustalono na poziomie zawar</w:t>
      </w:r>
      <w:r w:rsidR="00EB23BE">
        <w:rPr>
          <w:sz w:val="28"/>
          <w:szCs w:val="28"/>
        </w:rPr>
        <w:t>tych umów o pracę na koniec 201</w:t>
      </w:r>
      <w:r w:rsidR="00DF2F06">
        <w:rPr>
          <w:sz w:val="28"/>
          <w:szCs w:val="28"/>
        </w:rPr>
        <w:t>7</w:t>
      </w:r>
      <w:r w:rsidRPr="008A0D41">
        <w:rPr>
          <w:sz w:val="28"/>
          <w:szCs w:val="28"/>
        </w:rPr>
        <w:t xml:space="preserve"> r. Wydatki na wynagrodzenia i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pochodne o</w:t>
      </w:r>
      <w:r w:rsidR="00EB23BE">
        <w:rPr>
          <w:sz w:val="28"/>
          <w:szCs w:val="28"/>
        </w:rPr>
        <w:t xml:space="preserve">d wynagrodzeń dla nauczycieli </w:t>
      </w:r>
      <w:r w:rsidR="00EB23BE" w:rsidRPr="008A0D41">
        <w:rPr>
          <w:sz w:val="28"/>
          <w:szCs w:val="28"/>
        </w:rPr>
        <w:t xml:space="preserve">przyjęto </w:t>
      </w:r>
      <w:r w:rsidR="00DF2F06">
        <w:rPr>
          <w:sz w:val="28"/>
          <w:szCs w:val="28"/>
        </w:rPr>
        <w:t>5% wzrostu od 1 kwietnia 201</w:t>
      </w:r>
      <w:r w:rsidR="00120206">
        <w:rPr>
          <w:sz w:val="28"/>
          <w:szCs w:val="28"/>
        </w:rPr>
        <w:t>8</w:t>
      </w:r>
      <w:bookmarkStart w:id="0" w:name="_GoBack"/>
      <w:bookmarkEnd w:id="0"/>
      <w:r w:rsidR="00DF2F06">
        <w:rPr>
          <w:sz w:val="28"/>
          <w:szCs w:val="28"/>
        </w:rPr>
        <w:t xml:space="preserve"> r.</w:t>
      </w:r>
      <w:r w:rsidR="00EB23BE">
        <w:rPr>
          <w:sz w:val="28"/>
          <w:szCs w:val="28"/>
        </w:rPr>
        <w:t>,</w:t>
      </w:r>
      <w:r w:rsidR="00EB23BE" w:rsidRPr="008A0D41">
        <w:rPr>
          <w:sz w:val="28"/>
          <w:szCs w:val="28"/>
        </w:rPr>
        <w:t xml:space="preserve"> </w:t>
      </w:r>
      <w:r w:rsidR="00EB23BE">
        <w:rPr>
          <w:sz w:val="28"/>
          <w:szCs w:val="28"/>
        </w:rPr>
        <w:t>natomiast dla pracowni</w:t>
      </w:r>
      <w:r w:rsidR="00B47DAD">
        <w:rPr>
          <w:sz w:val="28"/>
          <w:szCs w:val="28"/>
        </w:rPr>
        <w:t xml:space="preserve">ków Urzędu i obsługi przyjęto </w:t>
      </w:r>
      <w:r w:rsidR="00DF2F06">
        <w:rPr>
          <w:sz w:val="28"/>
          <w:szCs w:val="28"/>
        </w:rPr>
        <w:t>3</w:t>
      </w:r>
      <w:r w:rsidR="00EB23BE">
        <w:rPr>
          <w:sz w:val="28"/>
          <w:szCs w:val="28"/>
        </w:rPr>
        <w:t xml:space="preserve">% wzrostu. </w:t>
      </w:r>
      <w:r w:rsidRPr="008A0D41">
        <w:rPr>
          <w:sz w:val="28"/>
          <w:szCs w:val="28"/>
        </w:rPr>
        <w:t>W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wynagrodzeni</w:t>
      </w:r>
      <w:r w:rsidR="003573B6">
        <w:rPr>
          <w:sz w:val="28"/>
          <w:szCs w:val="28"/>
        </w:rPr>
        <w:t>ach osobowych na 201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r. uwzględniono wypłaty nagród jubileuszowych</w:t>
      </w:r>
      <w:r w:rsidR="00F632C8">
        <w:rPr>
          <w:sz w:val="28"/>
          <w:szCs w:val="28"/>
        </w:rPr>
        <w:t xml:space="preserve"> i odprawy emerytalne</w:t>
      </w:r>
      <w:r w:rsidRPr="008A0D41">
        <w:rPr>
          <w:sz w:val="28"/>
          <w:szCs w:val="28"/>
        </w:rPr>
        <w:t>.</w:t>
      </w:r>
    </w:p>
    <w:p w:rsidR="008A0D41" w:rsidRPr="008A0D41" w:rsidRDefault="00EB23BE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Planowany od 201</w:t>
      </w:r>
      <w:r w:rsidR="00DF2F06">
        <w:rPr>
          <w:sz w:val="28"/>
          <w:szCs w:val="28"/>
        </w:rPr>
        <w:t>9</w:t>
      </w:r>
      <w:r w:rsidR="008A0D41" w:rsidRPr="008A0D41">
        <w:rPr>
          <w:sz w:val="28"/>
          <w:szCs w:val="28"/>
        </w:rPr>
        <w:t xml:space="preserve"> r. </w:t>
      </w:r>
      <w:r w:rsidR="00B47C77">
        <w:rPr>
          <w:sz w:val="28"/>
          <w:szCs w:val="28"/>
        </w:rPr>
        <w:t xml:space="preserve">o około </w:t>
      </w:r>
      <w:r w:rsidR="008A0D41" w:rsidRPr="008A0D41">
        <w:rPr>
          <w:sz w:val="28"/>
          <w:szCs w:val="28"/>
        </w:rPr>
        <w:t>3% wzrost wydatków na wynagrodzenia w</w:t>
      </w:r>
      <w:r w:rsidR="00B47DAD">
        <w:rPr>
          <w:sz w:val="28"/>
          <w:szCs w:val="28"/>
        </w:rPr>
        <w:t> </w:t>
      </w:r>
      <w:r w:rsidR="008A0D41" w:rsidRPr="008A0D41">
        <w:rPr>
          <w:sz w:val="28"/>
          <w:szCs w:val="28"/>
        </w:rPr>
        <w:t xml:space="preserve">każdym roku obejmuje również wypłatę nagród jubileuszowych. 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Pozycja „Wydatki związane z funkcjonowaniem organów j.s.t.”</w:t>
      </w:r>
      <w:r w:rsidRPr="008A0D41">
        <w:rPr>
          <w:sz w:val="28"/>
          <w:szCs w:val="28"/>
        </w:rPr>
        <w:t xml:space="preserve"> obejmuje wydatki planowane w rozdziale 75022 „Rady gmin” oraz w rozdziale 75023 „Urzędy gmin” – założono około 3 % wzrost wydatków z tego tytułu w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kolejnych latach.</w:t>
      </w:r>
    </w:p>
    <w:p w:rsidR="003573B6" w:rsidRDefault="003573B6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945" w:rsidRPr="008A0D41" w:rsidRDefault="003C6945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lastRenderedPageBreak/>
        <w:t>Zakup towarów i usług (zakup opału, energia elektryczna, woda szkolenia,</w:t>
      </w:r>
      <w:r w:rsidRPr="008A0D41">
        <w:rPr>
          <w:sz w:val="28"/>
          <w:szCs w:val="28"/>
        </w:rPr>
        <w:t xml:space="preserve"> </w:t>
      </w:r>
      <w:r w:rsidRPr="008A0D41">
        <w:rPr>
          <w:b/>
          <w:bCs/>
          <w:sz w:val="28"/>
          <w:szCs w:val="28"/>
        </w:rPr>
        <w:t>usługi remontowe, usługi telekomunikacyjne itd.)</w:t>
      </w:r>
      <w:r w:rsidRPr="008A0D41">
        <w:rPr>
          <w:sz w:val="28"/>
          <w:szCs w:val="28"/>
        </w:rPr>
        <w:t xml:space="preserve"> na poziomie </w:t>
      </w:r>
      <w:r w:rsidR="00EB23BE">
        <w:rPr>
          <w:sz w:val="28"/>
          <w:szCs w:val="28"/>
        </w:rPr>
        <w:t>przewidywanego wykonania za 201</w:t>
      </w:r>
      <w:r w:rsidR="00DF2F06">
        <w:rPr>
          <w:sz w:val="28"/>
          <w:szCs w:val="28"/>
        </w:rPr>
        <w:t>7</w:t>
      </w:r>
      <w:r w:rsidR="00EB23BE">
        <w:rPr>
          <w:sz w:val="28"/>
          <w:szCs w:val="28"/>
        </w:rPr>
        <w:t xml:space="preserve"> r. z uwzględnieniem </w:t>
      </w:r>
      <w:r w:rsidR="00DF2F06">
        <w:rPr>
          <w:sz w:val="28"/>
          <w:szCs w:val="28"/>
        </w:rPr>
        <w:t>2</w:t>
      </w:r>
      <w:r w:rsidR="00EB23BE">
        <w:rPr>
          <w:sz w:val="28"/>
          <w:szCs w:val="28"/>
        </w:rPr>
        <w:t>,</w:t>
      </w:r>
      <w:r w:rsidR="00F632C8">
        <w:rPr>
          <w:sz w:val="28"/>
          <w:szCs w:val="28"/>
        </w:rPr>
        <w:t>3</w:t>
      </w:r>
      <w:r w:rsidRPr="008A0D41">
        <w:rPr>
          <w:sz w:val="28"/>
          <w:szCs w:val="28"/>
        </w:rPr>
        <w:t>% wzrostu cen na wydatki rzeczowe. W kolejnych latach wzrost wydatków bieżąc</w:t>
      </w:r>
      <w:r w:rsidR="00B47C77">
        <w:rPr>
          <w:sz w:val="28"/>
          <w:szCs w:val="28"/>
        </w:rPr>
        <w:t xml:space="preserve">ych planuje się </w:t>
      </w:r>
      <w:r w:rsidR="00DF2F06">
        <w:rPr>
          <w:sz w:val="28"/>
          <w:szCs w:val="28"/>
        </w:rPr>
        <w:t>o około 3%.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Kwoty dotacji udzielonych z budżetu Gminy</w:t>
      </w:r>
      <w:r w:rsidRPr="008A0D41">
        <w:rPr>
          <w:sz w:val="28"/>
          <w:szCs w:val="28"/>
        </w:rPr>
        <w:t xml:space="preserve"> przyjęto na podstawie zawartych umów z jednostkami samorządu terytorialnego jak również zaplanowano dotacje dla podmiotów spoza sektora finansów publicznych i dla instytucji kultury na realizację zadań własnych Gminy. Kwoty dotacji określono w załącznikach nr 5 i 6 do projektu uchwały budżetowej.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Wydatki na obsługę długu</w:t>
      </w:r>
      <w:r w:rsidRPr="008A0D41">
        <w:rPr>
          <w:sz w:val="28"/>
          <w:szCs w:val="28"/>
        </w:rPr>
        <w:t xml:space="preserve"> zaplanowano na podstawie harmonogramów spłat zaciągniętych wcześniej kredytów i pożyczek. Na tej samej podstawie zaplanowano wysokość rozchodów budżetu. W roku 20</w:t>
      </w:r>
      <w:r w:rsidR="003573B6">
        <w:rPr>
          <w:sz w:val="28"/>
          <w:szCs w:val="28"/>
        </w:rPr>
        <w:t>1</w:t>
      </w:r>
      <w:r w:rsidR="00DF2F06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zaplanowano nadwyżkę budżetu w kwocie </w:t>
      </w:r>
      <w:r w:rsidR="00DF2F06">
        <w:rPr>
          <w:sz w:val="28"/>
          <w:szCs w:val="28"/>
        </w:rPr>
        <w:t>290.681</w:t>
      </w:r>
      <w:r w:rsidRPr="008A0D41">
        <w:rPr>
          <w:sz w:val="28"/>
          <w:szCs w:val="28"/>
        </w:rPr>
        <w:t>,00 zł z przeznaczeniem na spłatę wcześniej zaciągniętych kr</w:t>
      </w:r>
      <w:r w:rsidR="003C6945">
        <w:rPr>
          <w:sz w:val="28"/>
          <w:szCs w:val="28"/>
        </w:rPr>
        <w:t>edytów i pożyczek. W latach 201</w:t>
      </w:r>
      <w:r w:rsidR="00DF2F06">
        <w:rPr>
          <w:sz w:val="28"/>
          <w:szCs w:val="28"/>
        </w:rPr>
        <w:t>9</w:t>
      </w:r>
      <w:r w:rsidR="003C6945">
        <w:rPr>
          <w:sz w:val="28"/>
          <w:szCs w:val="28"/>
        </w:rPr>
        <w:t xml:space="preserve"> – </w:t>
      </w:r>
      <w:r w:rsidRPr="008A0D41">
        <w:rPr>
          <w:sz w:val="28"/>
          <w:szCs w:val="28"/>
        </w:rPr>
        <w:t>202</w:t>
      </w:r>
      <w:r w:rsidR="003C6945">
        <w:rPr>
          <w:sz w:val="28"/>
          <w:szCs w:val="28"/>
        </w:rPr>
        <w:t>4</w:t>
      </w:r>
      <w:r w:rsidRPr="008A0D41">
        <w:rPr>
          <w:sz w:val="28"/>
          <w:szCs w:val="28"/>
        </w:rPr>
        <w:t xml:space="preserve"> nie planuje się zaciągnięcia kredytów i pożyczek.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Dla odsetek od zadłużenia istniejącego przyjęto prognozowaną stawkę WIBOR1M powiększoną o marżę kredytową wynoszącą 1,2%.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b/>
          <w:bCs/>
          <w:sz w:val="28"/>
          <w:szCs w:val="28"/>
        </w:rPr>
        <w:t>Wydatki majątkowe</w:t>
      </w:r>
      <w:r w:rsidRPr="008A0D41">
        <w:rPr>
          <w:sz w:val="28"/>
          <w:szCs w:val="28"/>
        </w:rPr>
        <w:t xml:space="preserve"> zostały przedstawione zadania inwestycyjne realizowane w </w:t>
      </w:r>
      <w:r w:rsidR="00EB23BE">
        <w:rPr>
          <w:sz w:val="28"/>
          <w:szCs w:val="28"/>
        </w:rPr>
        <w:t>cyklu jednorocznym w latach 201</w:t>
      </w:r>
      <w:r w:rsidR="008777B4">
        <w:rPr>
          <w:sz w:val="28"/>
          <w:szCs w:val="28"/>
        </w:rPr>
        <w:t>8</w:t>
      </w:r>
      <w:r w:rsidR="003C6945">
        <w:rPr>
          <w:sz w:val="28"/>
          <w:szCs w:val="28"/>
        </w:rPr>
        <w:t xml:space="preserve"> – </w:t>
      </w:r>
      <w:r w:rsidR="00EB23BE">
        <w:rPr>
          <w:sz w:val="28"/>
          <w:szCs w:val="28"/>
        </w:rPr>
        <w:t>2024</w:t>
      </w:r>
      <w:r w:rsidRPr="008A0D41">
        <w:rPr>
          <w:sz w:val="28"/>
          <w:szCs w:val="28"/>
        </w:rPr>
        <w:t>.</w:t>
      </w:r>
    </w:p>
    <w:p w:rsidR="008A0D41" w:rsidRPr="008A0D41" w:rsidRDefault="003573B6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F3F8C">
        <w:rPr>
          <w:spacing w:val="-2"/>
          <w:sz w:val="28"/>
          <w:szCs w:val="28"/>
        </w:rPr>
        <w:t xml:space="preserve">W roku </w:t>
      </w:r>
      <w:r w:rsidR="00EB23BE" w:rsidRPr="00FF3F8C">
        <w:rPr>
          <w:spacing w:val="-2"/>
          <w:sz w:val="28"/>
          <w:szCs w:val="28"/>
        </w:rPr>
        <w:t>201</w:t>
      </w:r>
      <w:r w:rsidR="008777B4">
        <w:rPr>
          <w:spacing w:val="-2"/>
          <w:sz w:val="28"/>
          <w:szCs w:val="28"/>
        </w:rPr>
        <w:t>8</w:t>
      </w:r>
      <w:r w:rsidR="008A0D41" w:rsidRPr="00FF3F8C">
        <w:rPr>
          <w:spacing w:val="-2"/>
          <w:sz w:val="28"/>
          <w:szCs w:val="28"/>
        </w:rPr>
        <w:t xml:space="preserve"> planuje się przeznaczyć na wydatki majątkowe kwotę</w:t>
      </w:r>
      <w:r w:rsidRPr="00FF3F8C">
        <w:rPr>
          <w:spacing w:val="-2"/>
          <w:sz w:val="28"/>
          <w:szCs w:val="28"/>
        </w:rPr>
        <w:t xml:space="preserve"> </w:t>
      </w:r>
      <w:r w:rsidR="008777B4">
        <w:rPr>
          <w:spacing w:val="-2"/>
          <w:sz w:val="28"/>
          <w:szCs w:val="28"/>
        </w:rPr>
        <w:t>678.000</w:t>
      </w:r>
      <w:r w:rsidRPr="00FF3F8C">
        <w:rPr>
          <w:spacing w:val="-2"/>
          <w:sz w:val="28"/>
          <w:szCs w:val="28"/>
        </w:rPr>
        <w:t>,00</w:t>
      </w:r>
      <w:r w:rsidR="00EB23BE" w:rsidRPr="00FF3F8C">
        <w:rPr>
          <w:spacing w:val="-2"/>
          <w:sz w:val="28"/>
          <w:szCs w:val="28"/>
        </w:rPr>
        <w:t xml:space="preserve"> </w:t>
      </w:r>
      <w:r w:rsidR="008A0D41" w:rsidRPr="00FF3F8C">
        <w:rPr>
          <w:spacing w:val="-2"/>
          <w:sz w:val="28"/>
          <w:szCs w:val="28"/>
        </w:rPr>
        <w:t>zł,</w:t>
      </w:r>
      <w:r w:rsidR="008A0D41" w:rsidRPr="008A0D41">
        <w:rPr>
          <w:sz w:val="28"/>
          <w:szCs w:val="28"/>
        </w:rPr>
        <w:t xml:space="preserve"> w tym na zadania inwestycyjne kwotę</w:t>
      </w:r>
      <w:r>
        <w:rPr>
          <w:sz w:val="28"/>
          <w:szCs w:val="28"/>
        </w:rPr>
        <w:t xml:space="preserve"> </w:t>
      </w:r>
      <w:r w:rsidR="008777B4">
        <w:rPr>
          <w:sz w:val="28"/>
          <w:szCs w:val="28"/>
        </w:rPr>
        <w:t>678.000</w:t>
      </w:r>
      <w:r w:rsidR="008A0D41" w:rsidRPr="008A0D41">
        <w:rPr>
          <w:sz w:val="28"/>
          <w:szCs w:val="28"/>
        </w:rPr>
        <w:t>,00 zł.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Głównym źródłem finansowania inwestycji stają się wpływy z dochodów.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IV. Prognozowa</w:t>
      </w:r>
      <w:r w:rsidR="00B47DAD">
        <w:rPr>
          <w:b/>
          <w:bCs/>
          <w:sz w:val="28"/>
          <w:szCs w:val="28"/>
        </w:rPr>
        <w:t>ne przychody i rozchody budżetu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Na dzień przyjęcia wieloletniej prognozy finansowej nie planuje się przychodów budżetu Gminy. Jak wynika z zestawienia dochodów, wydatków, przychodów i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rozchodów, określonych w wieloletniej p</w:t>
      </w:r>
      <w:r w:rsidR="00EB23BE">
        <w:rPr>
          <w:sz w:val="28"/>
          <w:szCs w:val="28"/>
        </w:rPr>
        <w:t>rognozie finansowej, w</w:t>
      </w:r>
      <w:r w:rsidR="00B47DAD">
        <w:rPr>
          <w:sz w:val="28"/>
          <w:szCs w:val="28"/>
        </w:rPr>
        <w:t> </w:t>
      </w:r>
      <w:r w:rsidR="00EB23BE">
        <w:rPr>
          <w:sz w:val="28"/>
          <w:szCs w:val="28"/>
        </w:rPr>
        <w:t>roku 201</w:t>
      </w:r>
      <w:r w:rsidR="008777B4">
        <w:rPr>
          <w:sz w:val="28"/>
          <w:szCs w:val="28"/>
        </w:rPr>
        <w:t>8</w:t>
      </w:r>
      <w:r w:rsidRPr="008A0D41">
        <w:rPr>
          <w:sz w:val="28"/>
          <w:szCs w:val="28"/>
        </w:rPr>
        <w:t xml:space="preserve"> i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w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kolejnych latach planowane są nadwyżki budżetowe niezbędne do spłaty zobowiązań</w:t>
      </w:r>
      <w:r w:rsidR="00EB23BE">
        <w:rPr>
          <w:sz w:val="28"/>
          <w:szCs w:val="28"/>
        </w:rPr>
        <w:t xml:space="preserve"> (pożyczek, kredytów).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V. Prognoza długu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Spłatę długu zaplanowano na podstawie harmonogramów spłat wcześniej zaciągniętych kredytów i pożyczek.</w:t>
      </w:r>
      <w:r w:rsidR="003C6945">
        <w:rPr>
          <w:sz w:val="28"/>
          <w:szCs w:val="28"/>
        </w:rPr>
        <w:t xml:space="preserve"> Spłata długu obejmuje lata 201</w:t>
      </w:r>
      <w:r w:rsidR="008777B4">
        <w:rPr>
          <w:sz w:val="28"/>
          <w:szCs w:val="28"/>
        </w:rPr>
        <w:t>8</w:t>
      </w:r>
      <w:r w:rsidR="003C6945">
        <w:rPr>
          <w:sz w:val="28"/>
          <w:szCs w:val="28"/>
        </w:rPr>
        <w:t xml:space="preserve"> – </w:t>
      </w:r>
      <w:r w:rsidR="007C2900">
        <w:rPr>
          <w:sz w:val="28"/>
          <w:szCs w:val="28"/>
        </w:rPr>
        <w:t>2024</w:t>
      </w:r>
      <w:r w:rsidRPr="008A0D41">
        <w:rPr>
          <w:sz w:val="28"/>
          <w:szCs w:val="28"/>
        </w:rPr>
        <w:t>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Zgodnie z obowiązującymi przepisami dla budżetu jednostek sa</w:t>
      </w:r>
      <w:r w:rsidR="00B47C77">
        <w:rPr>
          <w:sz w:val="28"/>
          <w:szCs w:val="28"/>
        </w:rPr>
        <w:t>morządu terytorialnego od 2014</w:t>
      </w:r>
      <w:r w:rsidRPr="008A0D41">
        <w:rPr>
          <w:sz w:val="28"/>
          <w:szCs w:val="28"/>
        </w:rPr>
        <w:t xml:space="preserve"> roku zastosowanie </w:t>
      </w:r>
      <w:r w:rsidR="003573B6">
        <w:rPr>
          <w:sz w:val="28"/>
          <w:szCs w:val="28"/>
        </w:rPr>
        <w:t>mają</w:t>
      </w:r>
      <w:r w:rsidRPr="008A0D41">
        <w:rPr>
          <w:sz w:val="28"/>
          <w:szCs w:val="28"/>
        </w:rPr>
        <w:t xml:space="preserve"> przepisy art. 243</w:t>
      </w:r>
      <w:r w:rsidR="003C6945">
        <w:rPr>
          <w:sz w:val="28"/>
          <w:szCs w:val="28"/>
        </w:rPr>
        <w:t xml:space="preserve"> – </w:t>
      </w:r>
      <w:r w:rsidRPr="008A0D41">
        <w:rPr>
          <w:sz w:val="28"/>
          <w:szCs w:val="28"/>
        </w:rPr>
        <w:t>244 ustawy z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 xml:space="preserve">dnia 27 sierpnia 2009 roku o finansach publicznych. Zgodnie z nimi Gmina nie </w:t>
      </w:r>
      <w:r w:rsidR="00B47C77">
        <w:rPr>
          <w:sz w:val="28"/>
          <w:szCs w:val="28"/>
        </w:rPr>
        <w:t>może</w:t>
      </w:r>
      <w:r w:rsidRPr="008A0D41">
        <w:rPr>
          <w:sz w:val="28"/>
          <w:szCs w:val="28"/>
        </w:rPr>
        <w:t xml:space="preserve"> uchwalić budżetu, którego realizacja spowoduje, że w roku budżetowym </w:t>
      </w:r>
      <w:r w:rsidRPr="008A0D41">
        <w:rPr>
          <w:sz w:val="28"/>
          <w:szCs w:val="28"/>
        </w:rPr>
        <w:lastRenderedPageBreak/>
        <w:t>oraz w każdym kolejnym roku relacja łącznej kwoty przeznaczonej na obsługę zadłużenia (suma spłat kredytów i pożyczek wraz z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należnymi w danym roku odsetkami) do dochodów ogółem budżetu przekroczy średnią arytmetyczną z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ostatnich trzech lat realizacji jej dochodów bieżących powiększonych o</w:t>
      </w:r>
      <w:r w:rsidR="003C6945">
        <w:rPr>
          <w:sz w:val="28"/>
          <w:szCs w:val="28"/>
        </w:rPr>
        <w:t> </w:t>
      </w:r>
      <w:r w:rsidRPr="008A0D41">
        <w:rPr>
          <w:sz w:val="28"/>
          <w:szCs w:val="28"/>
        </w:rPr>
        <w:t>dochody ze sprzedaży majątku oraz pomniejszonych o wydatki bieżące, do dochodów ogółem budżetu.</w:t>
      </w:r>
    </w:p>
    <w:p w:rsidR="008A0D41" w:rsidRPr="008A0D41" w:rsidRDefault="003C6945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latach 201</w:t>
      </w:r>
      <w:r w:rsidR="008777B4">
        <w:rPr>
          <w:sz w:val="28"/>
          <w:szCs w:val="28"/>
        </w:rPr>
        <w:t>8</w:t>
      </w:r>
      <w:r>
        <w:rPr>
          <w:sz w:val="28"/>
          <w:szCs w:val="28"/>
        </w:rPr>
        <w:t xml:space="preserve"> – </w:t>
      </w:r>
      <w:r w:rsidR="007C2900">
        <w:rPr>
          <w:sz w:val="28"/>
          <w:szCs w:val="28"/>
        </w:rPr>
        <w:t>2024</w:t>
      </w:r>
      <w:r w:rsidR="008A0D41" w:rsidRPr="008A0D41">
        <w:rPr>
          <w:sz w:val="28"/>
          <w:szCs w:val="28"/>
        </w:rPr>
        <w:t xml:space="preserve"> nie jest planowane zaciąganie dodatkowych kredytów i</w:t>
      </w:r>
      <w:r w:rsidR="00B47DAD">
        <w:rPr>
          <w:sz w:val="28"/>
          <w:szCs w:val="28"/>
        </w:rPr>
        <w:t> </w:t>
      </w:r>
      <w:r w:rsidR="008A0D41" w:rsidRPr="008A0D41">
        <w:rPr>
          <w:sz w:val="28"/>
          <w:szCs w:val="28"/>
        </w:rPr>
        <w:t>pożyczek, tak więc w planowanym poziomie zadłużenia na koniec poszczególnych lat uwzględniono jedynie spłaty rat kredytów i pożyczek wynikające z harmonogramów spłat zawartych w umowach kredytowych.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VI. Wiel</w:t>
      </w:r>
      <w:r w:rsidR="00B47DAD">
        <w:rPr>
          <w:b/>
          <w:bCs/>
          <w:sz w:val="28"/>
          <w:szCs w:val="28"/>
        </w:rPr>
        <w:t>oletnie przedsięwzięcia bieżące</w:t>
      </w:r>
      <w:r w:rsidR="003C6945">
        <w:rPr>
          <w:b/>
          <w:bCs/>
          <w:sz w:val="28"/>
          <w:szCs w:val="28"/>
        </w:rPr>
        <w:t xml:space="preserve"> i majątkowe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945" w:rsidRDefault="003C6945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etapie </w:t>
      </w:r>
      <w:r w:rsidR="003561B9">
        <w:rPr>
          <w:sz w:val="28"/>
          <w:szCs w:val="28"/>
        </w:rPr>
        <w:t>opracowywania</w:t>
      </w:r>
      <w:r>
        <w:rPr>
          <w:sz w:val="28"/>
          <w:szCs w:val="28"/>
        </w:rPr>
        <w:t xml:space="preserve"> budżetu w 201</w:t>
      </w:r>
      <w:r w:rsidR="008777B4">
        <w:rPr>
          <w:sz w:val="28"/>
          <w:szCs w:val="28"/>
        </w:rPr>
        <w:t>8</w:t>
      </w:r>
      <w:r>
        <w:rPr>
          <w:sz w:val="28"/>
          <w:szCs w:val="28"/>
        </w:rPr>
        <w:t xml:space="preserve"> r. i latach następnych nie planuje się przedsięwzięć, które objęte byłyby WPF.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B47DAD" w:rsidP="003573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 budżetu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Pozycja 3 Wynik budżetu jest różnicą pomiędzy pozycjami 1. „Dochody ogółem” a pozycją 2 „Wydatki ogółem” i stanowi nadwyżkę budżetu w kwocie</w:t>
      </w:r>
      <w:r w:rsidR="004E0C8D">
        <w:rPr>
          <w:sz w:val="28"/>
          <w:szCs w:val="28"/>
        </w:rPr>
        <w:t xml:space="preserve"> </w:t>
      </w:r>
      <w:r w:rsidR="008777B4">
        <w:rPr>
          <w:sz w:val="28"/>
          <w:szCs w:val="28"/>
        </w:rPr>
        <w:t>290.681</w:t>
      </w:r>
      <w:r w:rsidRPr="008A0D41">
        <w:rPr>
          <w:sz w:val="28"/>
          <w:szCs w:val="28"/>
        </w:rPr>
        <w:t>,00</w:t>
      </w:r>
      <w:r w:rsidR="00C338C4">
        <w:rPr>
          <w:sz w:val="28"/>
          <w:szCs w:val="28"/>
        </w:rPr>
        <w:t> </w:t>
      </w:r>
      <w:r w:rsidRPr="008A0D41">
        <w:rPr>
          <w:sz w:val="28"/>
          <w:szCs w:val="28"/>
        </w:rPr>
        <w:t>zł, która przezna</w:t>
      </w:r>
      <w:r w:rsidR="00B47C77">
        <w:rPr>
          <w:sz w:val="28"/>
          <w:szCs w:val="28"/>
        </w:rPr>
        <w:t>czona będzie na spłatę wcze</w:t>
      </w:r>
      <w:r w:rsidRPr="008A0D41">
        <w:rPr>
          <w:sz w:val="28"/>
          <w:szCs w:val="28"/>
        </w:rPr>
        <w:t>śniej zaciągniętych pożyczek w Wojewódzkim Funduszu Ochrony Środowiska i Gospodarki Wodnej w Warszawie</w:t>
      </w:r>
      <w:r w:rsidR="00C338C4">
        <w:rPr>
          <w:sz w:val="28"/>
          <w:szCs w:val="28"/>
        </w:rPr>
        <w:t xml:space="preserve"> i</w:t>
      </w:r>
      <w:r w:rsidR="004E0C8D">
        <w:rPr>
          <w:sz w:val="28"/>
          <w:szCs w:val="28"/>
        </w:rPr>
        <w:t xml:space="preserve"> spłatę kredytów zaciągniętych</w:t>
      </w:r>
      <w:r w:rsidRPr="008A0D41">
        <w:rPr>
          <w:sz w:val="28"/>
          <w:szCs w:val="28"/>
        </w:rPr>
        <w:t xml:space="preserve"> w Banku Polska Kasa Opieki </w:t>
      </w:r>
      <w:r w:rsidR="004E0C8D">
        <w:rPr>
          <w:sz w:val="28"/>
          <w:szCs w:val="28"/>
        </w:rPr>
        <w:t>Spółka Akcyjna Oddział w Płocku.</w:t>
      </w:r>
    </w:p>
    <w:p w:rsidR="008A0D41" w:rsidRPr="008A0D41" w:rsidRDefault="007C2900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W latach 201</w:t>
      </w:r>
      <w:r w:rsidR="008777B4">
        <w:rPr>
          <w:sz w:val="28"/>
          <w:szCs w:val="28"/>
        </w:rPr>
        <w:t>9</w:t>
      </w:r>
      <w:r w:rsidR="00C338C4">
        <w:rPr>
          <w:sz w:val="28"/>
          <w:szCs w:val="28"/>
        </w:rPr>
        <w:t xml:space="preserve"> – </w:t>
      </w:r>
      <w:r>
        <w:rPr>
          <w:sz w:val="28"/>
          <w:szCs w:val="28"/>
        </w:rPr>
        <w:t>2024</w:t>
      </w:r>
      <w:r w:rsidR="008A0D41" w:rsidRPr="008A0D41">
        <w:rPr>
          <w:sz w:val="28"/>
          <w:szCs w:val="28"/>
        </w:rPr>
        <w:t xml:space="preserve"> również zaplanowano nadwyżkę budżetu, która będzie przeznaczona na spłatę wcześniej zaciągniętych pożyczek i kredytów (czyli na rozchody budżetu).</w:t>
      </w:r>
    </w:p>
    <w:p w:rsidR="00C338C4" w:rsidRDefault="00C338C4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A0D41">
        <w:rPr>
          <w:b/>
          <w:bCs/>
          <w:sz w:val="28"/>
          <w:szCs w:val="28"/>
        </w:rPr>
        <w:t>Znaczenie Wieloletniej Prognozy Finansowej, jej powiązanie z Uchwałą Budżetową oraz uwagi na temat realności planowania długoterminowego.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Kwestia zgodności WPF z budżetem jest uregulowana w art. 229 ustawy z dnia 27 sierpnia 2009 roku o finansach publicznych, z którego wynika, że wartości przyjęte w wieloletniej prognozie finansowej i budżecie jednostki samorządu terytorialnego powinny być zgodne co najmniej w zakresie wyniku budżetu i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związanych z nim kwot przychodów i rozchodów oraz długu jednostki samorządu terytorialnego. Zmiana w budżecie, powodująca zmiany w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dochodach bieżących budżetu czy też wydatkach bieżących ma bezpośredni wpływ na wskaźnik zadłużenia, określony w art.</w:t>
      </w:r>
      <w:r w:rsidR="00C338C4">
        <w:rPr>
          <w:sz w:val="28"/>
          <w:szCs w:val="28"/>
        </w:rPr>
        <w:t xml:space="preserve"> </w:t>
      </w:r>
      <w:r w:rsidRPr="008A0D41">
        <w:rPr>
          <w:sz w:val="28"/>
          <w:szCs w:val="28"/>
        </w:rPr>
        <w:t xml:space="preserve">243 </w:t>
      </w:r>
      <w:proofErr w:type="spellStart"/>
      <w:r w:rsidRPr="008A0D41">
        <w:rPr>
          <w:sz w:val="28"/>
          <w:szCs w:val="28"/>
        </w:rPr>
        <w:t>u.f.p</w:t>
      </w:r>
      <w:proofErr w:type="spellEnd"/>
      <w:r w:rsidRPr="008A0D41">
        <w:rPr>
          <w:sz w:val="28"/>
          <w:szCs w:val="28"/>
        </w:rPr>
        <w:t>.</w:t>
      </w:r>
    </w:p>
    <w:p w:rsid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Budżet JST zawiera dane niezbędne do sporządzenia prognozy kwoty długu, która jest opracowywana na podstawie sprawozdawczości i kwot uchwalonych w budżecie.</w:t>
      </w:r>
    </w:p>
    <w:p w:rsidR="00293BFB" w:rsidRPr="008A0D41" w:rsidRDefault="00293BFB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38C4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lastRenderedPageBreak/>
        <w:t>WPF czyli dokument o znaczeniu strategicznym powinien być uchwalony nie później niż uchwała budżetowa, co wskazuje na konieczność dostosowania kwot w uchwale budżetowej do wielkości z WPF, podlega weryfikacji wraz z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 xml:space="preserve">dokonywanymi zmianami w budżecie w zakresie określonym w art. 229 </w:t>
      </w:r>
      <w:proofErr w:type="spellStart"/>
      <w:r w:rsidRPr="008A0D41">
        <w:rPr>
          <w:sz w:val="28"/>
          <w:szCs w:val="28"/>
        </w:rPr>
        <w:t>u.f.p</w:t>
      </w:r>
      <w:proofErr w:type="spellEnd"/>
      <w:r w:rsidRPr="008A0D41">
        <w:rPr>
          <w:sz w:val="28"/>
          <w:szCs w:val="28"/>
        </w:rPr>
        <w:t>. Zapisy uchwały budżetowej, począwszy od jej uchwalenia poprzez zmiany w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 xml:space="preserve">ciągu roku, będą determinowały wielkości ujęte w WPF w zakresie roku budżetowego oraz następnych latach, np. zmiana kwot wydatków ze względu na zmiany przedsięwzięć objętych WPF. </w:t>
      </w:r>
    </w:p>
    <w:p w:rsidR="008A0D41" w:rsidRPr="008A0D41" w:rsidRDefault="008A0D41" w:rsidP="008A0D4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A0D41">
        <w:rPr>
          <w:sz w:val="28"/>
          <w:szCs w:val="28"/>
        </w:rPr>
        <w:t>Na kształt WPF będą miały zasadniczy wpływ możliwości finansowe i</w:t>
      </w:r>
      <w:r w:rsidR="00B47DAD">
        <w:rPr>
          <w:sz w:val="28"/>
          <w:szCs w:val="28"/>
        </w:rPr>
        <w:t> </w:t>
      </w:r>
      <w:r w:rsidRPr="008A0D41">
        <w:rPr>
          <w:sz w:val="28"/>
          <w:szCs w:val="28"/>
        </w:rPr>
        <w:t>wykonanie budżetu danego roku.</w:t>
      </w:r>
    </w:p>
    <w:p w:rsidR="00CC5068" w:rsidRDefault="00CC5068"/>
    <w:sectPr w:rsidR="00CC5068" w:rsidSect="00AB30EF">
      <w:footerReference w:type="default" r:id="rId8"/>
      <w:pgSz w:w="11894" w:h="16834"/>
      <w:pgMar w:top="1440" w:right="1440" w:bottom="1440" w:left="1440" w:header="720" w:footer="720" w:gutter="0"/>
      <w:pgNumType w:fmt="numberInDash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F71" w:rsidRDefault="00352F71" w:rsidP="00AB30EF">
      <w:r>
        <w:separator/>
      </w:r>
    </w:p>
  </w:endnote>
  <w:endnote w:type="continuationSeparator" w:id="0">
    <w:p w:rsidR="00352F71" w:rsidRDefault="00352F71" w:rsidP="00AB3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462637"/>
      <w:docPartObj>
        <w:docPartGallery w:val="Page Numbers (Bottom of Page)"/>
        <w:docPartUnique/>
      </w:docPartObj>
    </w:sdtPr>
    <w:sdtEndPr/>
    <w:sdtContent>
      <w:p w:rsidR="00AB30EF" w:rsidRDefault="00AB30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206">
          <w:rPr>
            <w:noProof/>
          </w:rPr>
          <w:t>- 3 -</w:t>
        </w:r>
        <w:r>
          <w:fldChar w:fldCharType="end"/>
        </w:r>
      </w:p>
    </w:sdtContent>
  </w:sdt>
  <w:p w:rsidR="00AB30EF" w:rsidRDefault="00AB30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F71" w:rsidRDefault="00352F71" w:rsidP="00AB30EF">
      <w:r>
        <w:separator/>
      </w:r>
    </w:p>
  </w:footnote>
  <w:footnote w:type="continuationSeparator" w:id="0">
    <w:p w:rsidR="00352F71" w:rsidRDefault="00352F71" w:rsidP="00AB3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90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2">
      <w:start w:val="1"/>
      <w:numFmt w:val="decimal"/>
      <w:lvlText w:val="%3)"/>
      <w:lvlJc w:val="left"/>
      <w:pPr>
        <w:ind w:left="12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3">
      <w:start w:val="1"/>
      <w:numFmt w:val="decimal"/>
      <w:lvlText w:val="%4)"/>
      <w:lvlJc w:val="left"/>
      <w:pPr>
        <w:ind w:left="16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4">
      <w:start w:val="1"/>
      <w:numFmt w:val="decimal"/>
      <w:lvlText w:val="%5)"/>
      <w:lvlJc w:val="left"/>
      <w:pPr>
        <w:ind w:left="198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5">
      <w:start w:val="1"/>
      <w:numFmt w:val="decimal"/>
      <w:lvlText w:val="%6)"/>
      <w:lvlJc w:val="left"/>
      <w:pPr>
        <w:ind w:left="234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6">
      <w:start w:val="1"/>
      <w:numFmt w:val="decimal"/>
      <w:lvlText w:val="%7)"/>
      <w:lvlJc w:val="left"/>
      <w:pPr>
        <w:ind w:left="270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7">
      <w:start w:val="1"/>
      <w:numFmt w:val="decimal"/>
      <w:lvlText w:val="%8)"/>
      <w:lvlJc w:val="left"/>
      <w:pPr>
        <w:ind w:left="306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  <w:lvl w:ilvl="8">
      <w:start w:val="1"/>
      <w:numFmt w:val="decimal"/>
      <w:lvlText w:val="%9)"/>
      <w:lvlJc w:val="left"/>
      <w:pPr>
        <w:ind w:left="3420" w:hanging="360"/>
      </w:pPr>
      <w:rPr>
        <w:rFonts w:ascii="Times New Roman" w:hAnsi="Times New Roman" w:cs="Times New Roman"/>
        <w:b w:val="0"/>
        <w:bCs w:val="0"/>
        <w:i/>
        <w:iCs/>
        <w:strike w:val="0"/>
        <w:color w:val="auto"/>
        <w:sz w:val="28"/>
        <w:szCs w:val="28"/>
        <w:u w:val="none"/>
      </w:rPr>
    </w:lvl>
  </w:abstractNum>
  <w:abstractNum w:abstractNumId="1" w15:restartNumberingAfterBreak="0">
    <w:nsid w:val="1BA70ABE"/>
    <w:multiLevelType w:val="hybridMultilevel"/>
    <w:tmpl w:val="8AFA226E"/>
    <w:lvl w:ilvl="0" w:tplc="C0B8D950">
      <w:start w:val="1"/>
      <w:numFmt w:val="decimal"/>
      <w:lvlText w:val="%1)"/>
      <w:lvlJc w:val="left"/>
      <w:pPr>
        <w:tabs>
          <w:tab w:val="num" w:pos="992"/>
        </w:tabs>
        <w:ind w:left="99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2"/>
        </w:tabs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2"/>
        </w:tabs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2"/>
        </w:tabs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2"/>
        </w:tabs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2"/>
        </w:tabs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2"/>
        </w:tabs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2"/>
        </w:tabs>
        <w:ind w:left="67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1"/>
    <w:rsid w:val="0001358C"/>
    <w:rsid w:val="00120206"/>
    <w:rsid w:val="00293BFB"/>
    <w:rsid w:val="002D3AC5"/>
    <w:rsid w:val="00352F71"/>
    <w:rsid w:val="003561B9"/>
    <w:rsid w:val="003573B6"/>
    <w:rsid w:val="00382E15"/>
    <w:rsid w:val="003C6945"/>
    <w:rsid w:val="004939A8"/>
    <w:rsid w:val="004E0C8D"/>
    <w:rsid w:val="00562C5B"/>
    <w:rsid w:val="00604B50"/>
    <w:rsid w:val="006D5E68"/>
    <w:rsid w:val="007A7F02"/>
    <w:rsid w:val="007C2900"/>
    <w:rsid w:val="008777B4"/>
    <w:rsid w:val="008A0D41"/>
    <w:rsid w:val="00A125C9"/>
    <w:rsid w:val="00AB2B97"/>
    <w:rsid w:val="00AB30EF"/>
    <w:rsid w:val="00AB59D1"/>
    <w:rsid w:val="00AD3652"/>
    <w:rsid w:val="00B47C77"/>
    <w:rsid w:val="00B47DAD"/>
    <w:rsid w:val="00C338C4"/>
    <w:rsid w:val="00CC5068"/>
    <w:rsid w:val="00DF2F06"/>
    <w:rsid w:val="00EB23BE"/>
    <w:rsid w:val="00F5336A"/>
    <w:rsid w:val="00F632C8"/>
    <w:rsid w:val="00FB411D"/>
    <w:rsid w:val="00FF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702A-C6C1-4975-AFB3-C1C2117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3573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AB3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30EF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AB3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0EF"/>
    <w:rPr>
      <w:sz w:val="24"/>
      <w:szCs w:val="24"/>
    </w:rPr>
  </w:style>
  <w:style w:type="paragraph" w:styleId="Tekstdymka">
    <w:name w:val="Balloon Text"/>
    <w:basedOn w:val="Normalny"/>
    <w:link w:val="TekstdymkaZnak"/>
    <w:rsid w:val="00AB30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B3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926C-E2AB-47F6-8278-DC4C71DD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Wieloletniej Prognozy Finansowej Gminy Słubice na  lata 2014- 2023</vt:lpstr>
    </vt:vector>
  </TitlesOfParts>
  <Company>X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Wieloletniej Prognozy Finansowej Gminy Słubice na  lata 2014- 2023</dc:title>
  <dc:subject/>
  <dc:creator>user</dc:creator>
  <cp:keywords/>
  <dc:description/>
  <cp:lastModifiedBy>Joanna Jakubowska</cp:lastModifiedBy>
  <cp:revision>13</cp:revision>
  <cp:lastPrinted>2015-11-13T10:41:00Z</cp:lastPrinted>
  <dcterms:created xsi:type="dcterms:W3CDTF">2015-11-12T07:03:00Z</dcterms:created>
  <dcterms:modified xsi:type="dcterms:W3CDTF">2017-11-14T10:49:00Z</dcterms:modified>
</cp:coreProperties>
</file>